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20"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widowControl/>
        <w:spacing w:line="620" w:lineRule="exact"/>
        <w:jc w:val="left"/>
        <w:rPr>
          <w:rFonts w:ascii="黑体" w:eastAsia="黑体" w:cs="宋体"/>
          <w:b/>
          <w:bCs/>
          <w:kern w:val="0"/>
          <w:sz w:val="30"/>
          <w:szCs w:val="30"/>
        </w:rPr>
      </w:pPr>
    </w:p>
    <w:p>
      <w:pPr>
        <w:widowControl/>
        <w:spacing w:before="100" w:beforeAutospacing="1" w:after="100" w:afterAutospacing="1" w:line="620" w:lineRule="exact"/>
        <w:jc w:val="center"/>
        <w:rPr>
          <w:rFonts w:hint="eastAsia" w:ascii="方正小标宋简体" w:hAnsi="黑体" w:eastAsia="方正小标宋简体" w:cs="黑体"/>
          <w:sz w:val="36"/>
          <w:szCs w:val="36"/>
        </w:rPr>
      </w:pPr>
      <w:r>
        <w:rPr>
          <w:rFonts w:hint="eastAsia" w:ascii="方正小标宋简体" w:hAnsi="黑体" w:eastAsia="方正小标宋简体" w:cs="黑体"/>
          <w:sz w:val="36"/>
          <w:szCs w:val="36"/>
          <w:lang w:val="en-US" w:eastAsia="zh-CN"/>
        </w:rPr>
        <w:t>乌海及周边地区空气质量提升分析展示平台建设项目公开征集承担单位</w:t>
      </w:r>
      <w:r>
        <w:rPr>
          <w:rFonts w:hint="eastAsia" w:ascii="方正小标宋简体" w:hAnsi="黑体" w:eastAsia="方正小标宋简体" w:cs="黑体"/>
          <w:sz w:val="36"/>
          <w:szCs w:val="36"/>
        </w:rPr>
        <w:t>申报指南</w:t>
      </w:r>
    </w:p>
    <w:p>
      <w:pPr>
        <w:keepNext w:val="0"/>
        <w:keepLines w:val="0"/>
        <w:pageBreakBefore w:val="0"/>
        <w:widowControl/>
        <w:numPr>
          <w:ilvl w:val="0"/>
          <w:numId w:val="1"/>
        </w:numPr>
        <w:kinsoku/>
        <w:wordWrap/>
        <w:overflowPunct/>
        <w:topLinePunct w:val="0"/>
        <w:autoSpaceDE/>
        <w:autoSpaceDN/>
        <w:bidi w:val="0"/>
        <w:adjustRightInd/>
        <w:snapToGrid/>
        <w:spacing w:line="620" w:lineRule="exact"/>
        <w:ind w:lef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课题背景</w:t>
      </w:r>
    </w:p>
    <w:p>
      <w:pPr>
        <w:keepNext w:val="0"/>
        <w:keepLines w:val="0"/>
        <w:pageBreakBefore w:val="0"/>
        <w:widowControl/>
        <w:numPr>
          <w:ilvl w:val="0"/>
          <w:numId w:val="0"/>
        </w:numPr>
        <w:kinsoku/>
        <w:wordWrap/>
        <w:overflowPunct/>
        <w:topLinePunct w:val="0"/>
        <w:autoSpaceDE/>
        <w:autoSpaceDN/>
        <w:bidi w:val="0"/>
        <w:adjustRightInd/>
        <w:snapToGrid/>
        <w:spacing w:line="620" w:lineRule="exact"/>
        <w:ind w:leftChars="0" w:firstLine="640" w:firstLineChars="200"/>
        <w:jc w:val="left"/>
        <w:textAlignment w:val="auto"/>
        <w:rPr>
          <w:rFonts w:hint="default" w:ascii="仿宋_GB2312" w:hAnsi="黑体" w:eastAsia="仿宋_GB2312" w:cs="黑体"/>
          <w:sz w:val="32"/>
          <w:szCs w:val="32"/>
          <w:lang w:val="en-US"/>
        </w:rPr>
      </w:pPr>
      <w:r>
        <w:rPr>
          <w:rFonts w:hint="eastAsia" w:eastAsia="仿宋_GB2312" w:cs="Times New Roman"/>
          <w:sz w:val="32"/>
          <w:szCs w:val="32"/>
          <w:lang w:val="en-US" w:eastAsia="zh-CN"/>
        </w:rPr>
        <w:t>根据工作需要，现以技术择优为主面向社会公开征集</w:t>
      </w:r>
      <w:r>
        <w:rPr>
          <w:rFonts w:hint="eastAsia" w:ascii="仿宋_GB2312" w:hAnsi="Times New Roman" w:eastAsia="仿宋_GB2312" w:cs="Times New Roman"/>
          <w:sz w:val="32"/>
          <w:szCs w:val="32"/>
        </w:rPr>
        <w:t>乌海及周边地区空气质量提升分析展示平台建设</w:t>
      </w:r>
      <w:r>
        <w:rPr>
          <w:rFonts w:hint="eastAsia" w:eastAsia="仿宋_GB2312" w:cs="Times New Roman"/>
          <w:sz w:val="32"/>
          <w:szCs w:val="32"/>
          <w:lang w:val="en-US" w:eastAsia="zh-CN"/>
        </w:rPr>
        <w:t>单位。</w:t>
      </w:r>
    </w:p>
    <w:p>
      <w:pPr>
        <w:keepNext w:val="0"/>
        <w:keepLines w:val="0"/>
        <w:pageBreakBefore w:val="0"/>
        <w:widowControl/>
        <w:numPr>
          <w:ilvl w:val="0"/>
          <w:numId w:val="1"/>
        </w:numPr>
        <w:kinsoku/>
        <w:wordWrap/>
        <w:overflowPunct/>
        <w:topLinePunct w:val="0"/>
        <w:autoSpaceDE/>
        <w:autoSpaceDN/>
        <w:bidi w:val="0"/>
        <w:adjustRightInd/>
        <w:snapToGrid/>
        <w:spacing w:line="620" w:lineRule="exact"/>
        <w:ind w:lef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课题任务</w:t>
      </w:r>
    </w:p>
    <w:p>
      <w:pPr>
        <w:keepNext w:val="0"/>
        <w:keepLines w:val="0"/>
        <w:pageBreakBefore w:val="0"/>
        <w:widowControl/>
        <w:numPr>
          <w:ilvl w:val="0"/>
          <w:numId w:val="0"/>
        </w:numPr>
        <w:kinsoku/>
        <w:wordWrap/>
        <w:overflowPunct/>
        <w:topLinePunct w:val="0"/>
        <w:autoSpaceDE/>
        <w:autoSpaceDN/>
        <w:bidi w:val="0"/>
        <w:adjustRightInd/>
        <w:snapToGrid/>
        <w:spacing w:line="620" w:lineRule="exact"/>
        <w:ind w:leftChars="0" w:firstLine="640" w:firstLineChars="200"/>
        <w:jc w:val="left"/>
        <w:textAlignment w:val="auto"/>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完成乌海及周边地区空气质量提升分析展示平台开发，实现对空气质量保障效果评估报告、区域大气污染成因分析成果、大气污染综合治理措施研究成果、高时空分辨率大气污染排放清单数据库、乌海及周边地区大气污染防治数据库等进行基于GIS的可视化展示、查询、统计、分析等功能，并针对各城区及工业园区的在线帮扶问题线索实现自动化分析和推送。</w:t>
      </w:r>
    </w:p>
    <w:p>
      <w:pPr>
        <w:pStyle w:val="4"/>
        <w:rPr>
          <w:rFonts w:hint="default"/>
          <w:sz w:val="28"/>
          <w:szCs w:val="28"/>
          <w:lang w:val="en-US"/>
        </w:rPr>
      </w:pPr>
      <w:r>
        <w:rPr>
          <w:rFonts w:hint="eastAsia"/>
          <w:sz w:val="28"/>
          <w:szCs w:val="28"/>
          <w:lang w:val="en-US" w:eastAsia="zh-CN"/>
        </w:rPr>
        <w:t>系统功能内容</w:t>
      </w:r>
    </w:p>
    <w:tbl>
      <w:tblPr>
        <w:tblStyle w:val="7"/>
        <w:tblW w:w="82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1"/>
        <w:gridCol w:w="1985"/>
        <w:gridCol w:w="5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vAlign w:val="center"/>
          </w:tcPr>
          <w:p>
            <w:pPr>
              <w:jc w:val="center"/>
              <w:rPr>
                <w:b/>
                <w:bCs/>
              </w:rPr>
            </w:pPr>
            <w:r>
              <w:rPr>
                <w:rFonts w:hint="eastAsia"/>
                <w:b/>
                <w:bCs/>
              </w:rPr>
              <w:t>系统功能</w:t>
            </w:r>
          </w:p>
        </w:tc>
        <w:tc>
          <w:tcPr>
            <w:tcW w:w="1985" w:type="dxa"/>
            <w:vAlign w:val="center"/>
          </w:tcPr>
          <w:p>
            <w:pPr>
              <w:jc w:val="center"/>
              <w:rPr>
                <w:b/>
                <w:bCs/>
              </w:rPr>
            </w:pPr>
            <w:r>
              <w:rPr>
                <w:rFonts w:hint="eastAsia"/>
                <w:b/>
                <w:bCs/>
              </w:rPr>
              <w:t>一级模块</w:t>
            </w:r>
          </w:p>
        </w:tc>
        <w:tc>
          <w:tcPr>
            <w:tcW w:w="5094" w:type="dxa"/>
            <w:vAlign w:val="center"/>
          </w:tcPr>
          <w:p>
            <w:pPr>
              <w:jc w:val="center"/>
              <w:rPr>
                <w:b/>
                <w:bCs/>
              </w:rPr>
            </w:pPr>
            <w:r>
              <w:rPr>
                <w:rFonts w:hint="eastAsia"/>
                <w:b/>
                <w:bCs/>
              </w:rPr>
              <w:t>二级模块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vMerge w:val="restart"/>
            <w:vAlign w:val="center"/>
          </w:tcPr>
          <w:p>
            <w:pPr>
              <w:jc w:val="center"/>
              <w:rPr>
                <w:b/>
                <w:bCs/>
              </w:rPr>
            </w:pPr>
            <w:r>
              <w:rPr>
                <w:rFonts w:hint="eastAsia" w:ascii="仿宋_GB2312" w:hAnsi="仿宋_GB2312" w:eastAsia="仿宋_GB2312" w:cs="仿宋_GB2312"/>
                <w:color w:val="000000"/>
                <w:kern w:val="0"/>
                <w:szCs w:val="21"/>
                <w:lang w:bidi="ar"/>
              </w:rPr>
              <w:t>地图展示</w:t>
            </w:r>
          </w:p>
        </w:tc>
        <w:tc>
          <w:tcPr>
            <w:tcW w:w="198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地图功能</w:t>
            </w:r>
          </w:p>
        </w:tc>
        <w:tc>
          <w:tcPr>
            <w:tcW w:w="5094"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空气质量、</w:t>
            </w:r>
            <w:r>
              <w:rPr>
                <w:rFonts w:hint="eastAsia" w:ascii="仿宋_GB2312" w:hAnsi="仿宋_GB2312" w:eastAsia="仿宋_GB2312" w:cs="仿宋_GB2312"/>
                <w:color w:val="000000"/>
                <w:kern w:val="0"/>
                <w:szCs w:val="21"/>
                <w:lang w:bidi="ar"/>
              </w:rPr>
              <w:t>天空地监管、成因分析</w:t>
            </w:r>
            <w:r>
              <w:rPr>
                <w:rFonts w:hint="eastAsia" w:ascii="仿宋_GB2312" w:hAnsi="仿宋_GB2312" w:eastAsia="仿宋_GB2312" w:cs="仿宋_GB2312"/>
                <w:szCs w:val="21"/>
              </w:rPr>
              <w:t>中风况动画、图例管理、地图切换、时间轴、GIS地图展示、地图工具条等基础地图功能构建和与原有地图功能集成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vMerge w:val="continue"/>
            <w:vAlign w:val="center"/>
          </w:tcPr>
          <w:p>
            <w:pPr>
              <w:jc w:val="center"/>
              <w:rPr>
                <w:b/>
                <w:bCs/>
              </w:rPr>
            </w:pPr>
          </w:p>
        </w:tc>
        <w:tc>
          <w:tcPr>
            <w:tcW w:w="198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图层控制</w:t>
            </w:r>
          </w:p>
        </w:tc>
        <w:tc>
          <w:tcPr>
            <w:tcW w:w="5094"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空气质量、</w:t>
            </w:r>
            <w:r>
              <w:rPr>
                <w:rFonts w:hint="eastAsia" w:ascii="仿宋_GB2312" w:hAnsi="仿宋_GB2312" w:eastAsia="仿宋_GB2312" w:cs="仿宋_GB2312"/>
                <w:color w:val="000000"/>
                <w:kern w:val="0"/>
                <w:szCs w:val="21"/>
                <w:lang w:bidi="ar"/>
              </w:rPr>
              <w:t>天空地监管、成因分析</w:t>
            </w:r>
            <w:r>
              <w:rPr>
                <w:rFonts w:hint="eastAsia" w:ascii="仿宋_GB2312" w:hAnsi="仿宋_GB2312" w:eastAsia="仿宋_GB2312" w:cs="仿宋_GB2312"/>
                <w:szCs w:val="21"/>
              </w:rPr>
              <w:t>中空气质量、气温、降水、风速、湿度、能见度图层编辑和叠加展示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171"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空气质量</w:t>
            </w:r>
          </w:p>
        </w:tc>
        <w:tc>
          <w:tcPr>
            <w:tcW w:w="198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环境质量</w:t>
            </w:r>
          </w:p>
        </w:tc>
        <w:tc>
          <w:tcPr>
            <w:tcW w:w="5094"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排名情况、空气质量日历、7日内时序污染特征雷达图、天气情况、空气质量五日预报、乌海及周边污染物变化趋势、乌海及周边污染物浓度区间分布、乌海及周边污染物浓度变化速率分析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vMerge w:val="continue"/>
            <w:vAlign w:val="center"/>
          </w:tcPr>
          <w:p>
            <w:pPr>
              <w:jc w:val="center"/>
              <w:rPr>
                <w:rFonts w:ascii="仿宋_GB2312" w:hAnsi="仿宋_GB2312" w:eastAsia="仿宋_GB2312" w:cs="仿宋_GB2312"/>
                <w:szCs w:val="21"/>
              </w:rPr>
            </w:pPr>
          </w:p>
        </w:tc>
        <w:tc>
          <w:tcPr>
            <w:tcW w:w="198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污染源分析</w:t>
            </w:r>
          </w:p>
        </w:tc>
        <w:tc>
          <w:tcPr>
            <w:tcW w:w="5094"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污染源总体情况、污染源清单集成和关联分析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171"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color w:val="000000"/>
                <w:kern w:val="0"/>
                <w:szCs w:val="21"/>
                <w:lang w:bidi="ar"/>
              </w:rPr>
              <w:t>天空地监管</w:t>
            </w:r>
          </w:p>
        </w:tc>
        <w:tc>
          <w:tcPr>
            <w:tcW w:w="198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污染源问题线索</w:t>
            </w:r>
          </w:p>
        </w:tc>
        <w:tc>
          <w:tcPr>
            <w:tcW w:w="5094"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企业信息、废气排口、在线监测、用电、执法情况等问题线索生成模型建立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vMerge w:val="continue"/>
            <w:vAlign w:val="center"/>
          </w:tcPr>
          <w:p>
            <w:pPr>
              <w:jc w:val="center"/>
              <w:rPr>
                <w:rFonts w:ascii="仿宋_GB2312" w:hAnsi="仿宋_GB2312" w:eastAsia="仿宋_GB2312" w:cs="仿宋_GB2312"/>
                <w:color w:val="000000"/>
                <w:kern w:val="0"/>
                <w:szCs w:val="21"/>
                <w:lang w:bidi="ar"/>
              </w:rPr>
            </w:pPr>
          </w:p>
        </w:tc>
        <w:tc>
          <w:tcPr>
            <w:tcW w:w="198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卫星遥感</w:t>
            </w:r>
          </w:p>
        </w:tc>
        <w:tc>
          <w:tcPr>
            <w:tcW w:w="5094"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卫星遥感分析污染物柱浓度生成模型建立、污染源高值区生成和分析展示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vMerge w:val="continue"/>
            <w:vAlign w:val="center"/>
          </w:tcPr>
          <w:p>
            <w:pPr>
              <w:jc w:val="center"/>
              <w:rPr>
                <w:rFonts w:ascii="仿宋_GB2312" w:hAnsi="仿宋_GB2312" w:eastAsia="仿宋_GB2312" w:cs="仿宋_GB2312"/>
                <w:color w:val="000000"/>
                <w:kern w:val="0"/>
                <w:szCs w:val="21"/>
                <w:lang w:bidi="ar"/>
              </w:rPr>
            </w:pPr>
          </w:p>
        </w:tc>
        <w:tc>
          <w:tcPr>
            <w:tcW w:w="198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雷达分析</w:t>
            </w:r>
          </w:p>
        </w:tc>
        <w:tc>
          <w:tcPr>
            <w:tcW w:w="5094"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激光雷达监测数据处理和高值区生成模型建立和分析展示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vMerge w:val="continue"/>
            <w:vAlign w:val="center"/>
          </w:tcPr>
          <w:p>
            <w:pPr>
              <w:jc w:val="center"/>
              <w:rPr>
                <w:rFonts w:ascii="仿宋_GB2312" w:hAnsi="仿宋_GB2312" w:eastAsia="仿宋_GB2312" w:cs="仿宋_GB2312"/>
                <w:color w:val="000000"/>
                <w:kern w:val="0"/>
                <w:szCs w:val="21"/>
                <w:lang w:bidi="ar"/>
              </w:rPr>
            </w:pPr>
          </w:p>
        </w:tc>
        <w:tc>
          <w:tcPr>
            <w:tcW w:w="198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走航监测</w:t>
            </w:r>
          </w:p>
        </w:tc>
        <w:tc>
          <w:tcPr>
            <w:tcW w:w="5094"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图层控制、走航监测数据集成和分析、3D模型构建、走航网格划分和网格内污染源分析、走航数据展示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171" w:type="dxa"/>
            <w:vMerge w:val="continue"/>
            <w:vAlign w:val="center"/>
          </w:tcPr>
          <w:p>
            <w:pPr>
              <w:jc w:val="center"/>
              <w:rPr>
                <w:rFonts w:ascii="仿宋_GB2312" w:hAnsi="仿宋_GB2312" w:eastAsia="仿宋_GB2312" w:cs="仿宋_GB2312"/>
                <w:color w:val="000000"/>
                <w:kern w:val="0"/>
                <w:szCs w:val="21"/>
                <w:lang w:bidi="ar"/>
              </w:rPr>
            </w:pPr>
          </w:p>
        </w:tc>
        <w:tc>
          <w:tcPr>
            <w:tcW w:w="198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超级站、国控站点、省控站、微站、冒泡站点分析</w:t>
            </w:r>
          </w:p>
        </w:tc>
        <w:tc>
          <w:tcPr>
            <w:tcW w:w="5094"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图层控制，超级站、国控站、省控站、微站数据处理，冒泡站点分析模型建立、报警提醒和问题线索推送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171" w:type="dxa"/>
            <w:vMerge w:val="restart"/>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成因分析</w:t>
            </w:r>
          </w:p>
        </w:tc>
        <w:tc>
          <w:tcPr>
            <w:tcW w:w="198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污染物成因</w:t>
            </w:r>
          </w:p>
        </w:tc>
        <w:tc>
          <w:tcPr>
            <w:tcW w:w="5094"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污染源清单信息、废气排口、在线监测、执法情况、处罚情况多源数据关联分析和成因辅助分析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vMerge w:val="continue"/>
            <w:vAlign w:val="center"/>
          </w:tcPr>
          <w:p>
            <w:pPr>
              <w:jc w:val="center"/>
              <w:rPr>
                <w:rFonts w:ascii="仿宋_GB2312" w:hAnsi="仿宋_GB2312" w:eastAsia="仿宋_GB2312" w:cs="仿宋_GB2312"/>
                <w:color w:val="000000"/>
                <w:kern w:val="0"/>
                <w:szCs w:val="21"/>
                <w:lang w:bidi="ar"/>
              </w:rPr>
            </w:pPr>
          </w:p>
        </w:tc>
        <w:tc>
          <w:tcPr>
            <w:tcW w:w="198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空气微站站点</w:t>
            </w:r>
          </w:p>
        </w:tc>
        <w:tc>
          <w:tcPr>
            <w:tcW w:w="5094"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实时监测分析和走航监测数据关联分析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vMerge w:val="continue"/>
            <w:vAlign w:val="center"/>
          </w:tcPr>
          <w:p>
            <w:pPr>
              <w:jc w:val="center"/>
              <w:rPr>
                <w:rFonts w:ascii="仿宋_GB2312" w:hAnsi="仿宋_GB2312" w:eastAsia="仿宋_GB2312" w:cs="仿宋_GB2312"/>
                <w:color w:val="000000"/>
                <w:kern w:val="0"/>
                <w:szCs w:val="21"/>
                <w:lang w:bidi="ar"/>
              </w:rPr>
            </w:pPr>
          </w:p>
        </w:tc>
        <w:tc>
          <w:tcPr>
            <w:tcW w:w="198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成因分析工具</w:t>
            </w:r>
          </w:p>
        </w:tc>
        <w:tc>
          <w:tcPr>
            <w:tcW w:w="5094"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清单数据处理，分析模型建立，成因分析、跨区域传输分析展示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vMerge w:val="continue"/>
            <w:vAlign w:val="center"/>
          </w:tcPr>
          <w:p>
            <w:pPr>
              <w:jc w:val="center"/>
              <w:rPr>
                <w:rFonts w:ascii="仿宋_GB2312" w:hAnsi="仿宋_GB2312" w:eastAsia="仿宋_GB2312" w:cs="仿宋_GB2312"/>
                <w:color w:val="000000"/>
                <w:kern w:val="0"/>
                <w:szCs w:val="21"/>
                <w:lang w:bidi="ar"/>
              </w:rPr>
            </w:pPr>
          </w:p>
        </w:tc>
        <w:tc>
          <w:tcPr>
            <w:tcW w:w="198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成因分析结果</w:t>
            </w:r>
          </w:p>
        </w:tc>
        <w:tc>
          <w:tcPr>
            <w:tcW w:w="5094"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引起超标污染源分布、网格下污染源分布、多区域污染物贡献率占比模型建立和分析展示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vMerge w:val="restart"/>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数据中心</w:t>
            </w:r>
          </w:p>
        </w:tc>
        <w:tc>
          <w:tcPr>
            <w:tcW w:w="198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数据集成</w:t>
            </w:r>
          </w:p>
        </w:tc>
        <w:tc>
          <w:tcPr>
            <w:tcW w:w="5094"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多源数据清洗、关联，结构化数据集成、空间数据集成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vMerge w:val="continue"/>
            <w:vAlign w:val="center"/>
          </w:tcPr>
          <w:p>
            <w:pPr>
              <w:jc w:val="center"/>
              <w:rPr>
                <w:rFonts w:ascii="仿宋_GB2312" w:hAnsi="仿宋_GB2312" w:eastAsia="仿宋_GB2312" w:cs="仿宋_GB2312"/>
                <w:color w:val="000000"/>
                <w:kern w:val="0"/>
                <w:szCs w:val="21"/>
                <w:lang w:bidi="ar"/>
              </w:rPr>
            </w:pPr>
          </w:p>
        </w:tc>
        <w:tc>
          <w:tcPr>
            <w:tcW w:w="198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数据管理</w:t>
            </w:r>
          </w:p>
        </w:tc>
        <w:tc>
          <w:tcPr>
            <w:tcW w:w="5094"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数据资源目录管理，业务数据管理，空间数据管理，数据关联和调用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vMerge w:val="continue"/>
            <w:vAlign w:val="center"/>
          </w:tcPr>
          <w:p>
            <w:pPr>
              <w:jc w:val="center"/>
              <w:rPr>
                <w:rFonts w:ascii="仿宋_GB2312" w:hAnsi="仿宋_GB2312" w:eastAsia="仿宋_GB2312" w:cs="仿宋_GB2312"/>
                <w:color w:val="000000"/>
                <w:kern w:val="0"/>
                <w:szCs w:val="21"/>
                <w:lang w:bidi="ar"/>
              </w:rPr>
            </w:pPr>
          </w:p>
        </w:tc>
        <w:tc>
          <w:tcPr>
            <w:tcW w:w="198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图层树构建</w:t>
            </w:r>
          </w:p>
        </w:tc>
        <w:tc>
          <w:tcPr>
            <w:tcW w:w="5094"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多源数据同时空多图层融合和快速叠加分析展示分析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系统性能</w:t>
            </w:r>
          </w:p>
        </w:tc>
        <w:tc>
          <w:tcPr>
            <w:tcW w:w="198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系统反应速度和数据加载速度</w:t>
            </w:r>
          </w:p>
        </w:tc>
        <w:tc>
          <w:tcPr>
            <w:tcW w:w="5094"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空间类模块并发访问调优，数据访问负载均衡调优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vMerge w:val="restart"/>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用户管理</w:t>
            </w:r>
          </w:p>
        </w:tc>
        <w:tc>
          <w:tcPr>
            <w:tcW w:w="198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用户权限</w:t>
            </w:r>
          </w:p>
        </w:tc>
        <w:tc>
          <w:tcPr>
            <w:tcW w:w="5094"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用户组别管理，</w:t>
            </w:r>
            <w:r>
              <w:rPr>
                <w:rFonts w:hint="eastAsia" w:ascii="仿宋_GB2312" w:hAnsi="仿宋_GB2312" w:eastAsia="仿宋_GB2312" w:cs="仿宋_GB2312"/>
              </w:rPr>
              <w:t>用户角色、权限划分功能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vMerge w:val="continue"/>
            <w:vAlign w:val="center"/>
          </w:tcPr>
          <w:p>
            <w:pPr>
              <w:jc w:val="center"/>
              <w:rPr>
                <w:rFonts w:ascii="仿宋_GB2312" w:hAnsi="仿宋_GB2312" w:eastAsia="仿宋_GB2312" w:cs="仿宋_GB2312"/>
                <w:color w:val="000000"/>
                <w:kern w:val="0"/>
                <w:szCs w:val="21"/>
                <w:lang w:bidi="ar"/>
              </w:rPr>
            </w:pPr>
          </w:p>
        </w:tc>
        <w:tc>
          <w:tcPr>
            <w:tcW w:w="198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用户行为日志</w:t>
            </w:r>
          </w:p>
        </w:tc>
        <w:tc>
          <w:tcPr>
            <w:tcW w:w="5094"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记录用户行为、安全行为以及后台管理行为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1" w:type="dxa"/>
            <w:vAlign w:val="center"/>
          </w:tcPr>
          <w:p>
            <w:pPr>
              <w:jc w:val="center"/>
              <w:rPr>
                <w:rFonts w:ascii="仿宋_GB2312" w:hAnsi="仿宋_GB2312" w:eastAsia="仿宋_GB2312" w:cs="仿宋_GB2312"/>
                <w:color w:val="000000"/>
                <w:kern w:val="0"/>
                <w:szCs w:val="21"/>
                <w:lang w:bidi="ar"/>
              </w:rPr>
            </w:pPr>
            <w:r>
              <w:rPr>
                <w:rFonts w:hint="eastAsia" w:ascii="仿宋_GB2312" w:hAnsi="仿宋_GB2312" w:eastAsia="仿宋_GB2312" w:cs="仿宋_GB2312"/>
                <w:color w:val="000000"/>
                <w:kern w:val="0"/>
                <w:szCs w:val="21"/>
                <w:lang w:bidi="ar"/>
              </w:rPr>
              <w:t>安全管理</w:t>
            </w:r>
          </w:p>
        </w:tc>
        <w:tc>
          <w:tcPr>
            <w:tcW w:w="1985"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数据安全访问</w:t>
            </w:r>
          </w:p>
        </w:tc>
        <w:tc>
          <w:tcPr>
            <w:tcW w:w="5094"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安全行为日志管理、访问授权管理、数据防泄露管理</w:t>
            </w:r>
          </w:p>
        </w:tc>
      </w:tr>
    </w:tbl>
    <w:p>
      <w:pPr>
        <w:keepNext w:val="0"/>
        <w:keepLines w:val="0"/>
        <w:pageBreakBefore w:val="0"/>
        <w:widowControl/>
        <w:numPr>
          <w:ilvl w:val="0"/>
          <w:numId w:val="1"/>
        </w:numPr>
        <w:kinsoku/>
        <w:wordWrap/>
        <w:overflowPunct/>
        <w:topLinePunct w:val="0"/>
        <w:autoSpaceDE/>
        <w:autoSpaceDN/>
        <w:bidi w:val="0"/>
        <w:adjustRightInd/>
        <w:snapToGrid/>
        <w:spacing w:line="620" w:lineRule="exact"/>
        <w:ind w:lef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成果与进度要求</w:t>
      </w:r>
    </w:p>
    <w:p>
      <w:pPr>
        <w:keepNext w:val="0"/>
        <w:keepLines w:val="0"/>
        <w:pageBreakBefore w:val="0"/>
        <w:widowControl/>
        <w:numPr>
          <w:ilvl w:val="0"/>
          <w:numId w:val="0"/>
        </w:numPr>
        <w:kinsoku/>
        <w:wordWrap/>
        <w:overflowPunct/>
        <w:topLinePunct w:val="0"/>
        <w:autoSpaceDE/>
        <w:autoSpaceDN/>
        <w:bidi w:val="0"/>
        <w:adjustRightInd/>
        <w:snapToGrid/>
        <w:spacing w:line="620" w:lineRule="exact"/>
        <w:ind w:leftChars="0" w:firstLine="640" w:firstLineChars="200"/>
        <w:jc w:val="left"/>
        <w:textAlignment w:val="auto"/>
        <w:rPr>
          <w:rFonts w:hint="eastAsia" w:ascii="仿宋_GB2312" w:hAnsi="黑体" w:eastAsia="仿宋_GB2312" w:cs="黑体"/>
          <w:sz w:val="32"/>
          <w:szCs w:val="32"/>
          <w:lang w:val="en-US" w:eastAsia="zh-CN"/>
        </w:rPr>
      </w:pPr>
      <w:r>
        <w:rPr>
          <w:rFonts w:hint="eastAsia" w:ascii="仿宋_GB2312" w:hAnsi="黑体" w:eastAsia="仿宋_GB2312" w:cs="黑体"/>
          <w:sz w:val="32"/>
          <w:szCs w:val="32"/>
          <w:lang w:val="en-US" w:eastAsia="zh-CN"/>
        </w:rPr>
        <w:t>项目成果：</w:t>
      </w:r>
    </w:p>
    <w:p>
      <w:pPr>
        <w:keepNext w:val="0"/>
        <w:keepLines w:val="0"/>
        <w:pageBreakBefore w:val="0"/>
        <w:widowControl/>
        <w:numPr>
          <w:ilvl w:val="0"/>
          <w:numId w:val="0"/>
        </w:numPr>
        <w:kinsoku/>
        <w:wordWrap/>
        <w:overflowPunct/>
        <w:topLinePunct w:val="0"/>
        <w:autoSpaceDE/>
        <w:autoSpaceDN/>
        <w:bidi w:val="0"/>
        <w:adjustRightInd/>
        <w:snapToGrid/>
        <w:spacing w:line="620" w:lineRule="exact"/>
        <w:ind w:leftChars="0" w:firstLine="640" w:firstLineChars="200"/>
        <w:jc w:val="left"/>
        <w:textAlignment w:val="auto"/>
        <w:rPr>
          <w:rFonts w:hint="eastAsia" w:ascii="仿宋_GB2312" w:hAnsi="黑体" w:eastAsia="仿宋_GB2312" w:cs="黑体"/>
          <w:sz w:val="32"/>
          <w:szCs w:val="32"/>
          <w:lang w:val="en-US" w:eastAsia="zh-CN"/>
        </w:rPr>
      </w:pPr>
      <w:r>
        <w:rPr>
          <w:rFonts w:hint="eastAsia" w:ascii="仿宋_GB2312" w:hAnsi="黑体" w:eastAsia="仿宋_GB2312" w:cs="黑体"/>
          <w:sz w:val="32"/>
          <w:szCs w:val="32"/>
          <w:lang w:val="en-US" w:eastAsia="zh-CN"/>
        </w:rPr>
        <w:t>（1）</w:t>
      </w:r>
      <w:r>
        <w:rPr>
          <w:rFonts w:hint="eastAsia" w:ascii="仿宋_GB2312" w:hAnsi="Times New Roman" w:eastAsia="仿宋_GB2312" w:cs="Times New Roman"/>
          <w:sz w:val="32"/>
          <w:szCs w:val="32"/>
        </w:rPr>
        <w:t>乌海及周边地区空气质量提升分析展示平台</w:t>
      </w:r>
      <w:r>
        <w:rPr>
          <w:rFonts w:hint="eastAsia" w:ascii="仿宋_GB2312" w:eastAsia="仿宋_GB2312" w:cs="Times New Roman"/>
          <w:sz w:val="32"/>
          <w:szCs w:val="32"/>
          <w:lang w:val="en-US" w:eastAsia="zh-CN"/>
        </w:rPr>
        <w:t>一套</w:t>
      </w:r>
      <w:r>
        <w:rPr>
          <w:rFonts w:hint="eastAsia" w:ascii="仿宋_GB2312" w:hAnsi="黑体" w:eastAsia="仿宋_GB2312" w:cs="黑体"/>
          <w:sz w:val="32"/>
          <w:szCs w:val="32"/>
          <w:lang w:val="en-US"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620" w:lineRule="exact"/>
        <w:ind w:leftChars="0" w:firstLine="640" w:firstLineChars="200"/>
        <w:jc w:val="left"/>
        <w:textAlignment w:val="auto"/>
        <w:rPr>
          <w:rFonts w:hint="eastAsia" w:ascii="仿宋_GB2312" w:hAnsi="黑体" w:eastAsia="仿宋_GB2312" w:cs="黑体"/>
          <w:sz w:val="32"/>
          <w:szCs w:val="32"/>
          <w:lang w:val="en-US" w:eastAsia="zh-CN"/>
        </w:rPr>
      </w:pPr>
      <w:r>
        <w:rPr>
          <w:rFonts w:hint="eastAsia" w:ascii="仿宋_GB2312" w:hAnsi="黑体" w:eastAsia="仿宋_GB2312" w:cs="黑体"/>
          <w:sz w:val="32"/>
          <w:szCs w:val="32"/>
          <w:lang w:val="en-US" w:eastAsia="zh-CN"/>
        </w:rPr>
        <w:t>（2）《项目实施方案》</w:t>
      </w:r>
    </w:p>
    <w:p>
      <w:pPr>
        <w:keepNext w:val="0"/>
        <w:keepLines w:val="0"/>
        <w:pageBreakBefore w:val="0"/>
        <w:widowControl/>
        <w:numPr>
          <w:ilvl w:val="0"/>
          <w:numId w:val="0"/>
        </w:numPr>
        <w:kinsoku/>
        <w:wordWrap/>
        <w:overflowPunct/>
        <w:topLinePunct w:val="0"/>
        <w:autoSpaceDE/>
        <w:autoSpaceDN/>
        <w:bidi w:val="0"/>
        <w:adjustRightInd/>
        <w:snapToGrid/>
        <w:spacing w:line="620" w:lineRule="exact"/>
        <w:ind w:leftChars="0" w:firstLine="640" w:firstLineChars="200"/>
        <w:jc w:val="left"/>
        <w:textAlignment w:val="auto"/>
        <w:rPr>
          <w:rFonts w:hint="eastAsia" w:ascii="仿宋_GB2312" w:hAnsi="黑体" w:eastAsia="仿宋_GB2312" w:cs="黑体"/>
          <w:sz w:val="32"/>
          <w:szCs w:val="32"/>
          <w:lang w:val="en-US" w:eastAsia="zh-CN"/>
        </w:rPr>
      </w:pPr>
      <w:r>
        <w:rPr>
          <w:rFonts w:hint="eastAsia" w:ascii="仿宋_GB2312" w:hAnsi="黑体" w:eastAsia="仿宋_GB2312" w:cs="黑体"/>
          <w:sz w:val="32"/>
          <w:szCs w:val="32"/>
          <w:lang w:val="en-US" w:eastAsia="zh-CN"/>
        </w:rPr>
        <w:t>（3）《需求规格说明书》</w:t>
      </w:r>
    </w:p>
    <w:p>
      <w:pPr>
        <w:keepNext w:val="0"/>
        <w:keepLines w:val="0"/>
        <w:pageBreakBefore w:val="0"/>
        <w:widowControl/>
        <w:numPr>
          <w:ilvl w:val="0"/>
          <w:numId w:val="0"/>
        </w:numPr>
        <w:kinsoku/>
        <w:wordWrap/>
        <w:overflowPunct/>
        <w:topLinePunct w:val="0"/>
        <w:autoSpaceDE/>
        <w:autoSpaceDN/>
        <w:bidi w:val="0"/>
        <w:adjustRightInd/>
        <w:snapToGrid/>
        <w:spacing w:line="620" w:lineRule="exact"/>
        <w:ind w:leftChars="0" w:firstLine="640" w:firstLineChars="200"/>
        <w:jc w:val="left"/>
        <w:textAlignment w:val="auto"/>
        <w:rPr>
          <w:rFonts w:hint="eastAsia" w:ascii="仿宋_GB2312" w:hAnsi="黑体" w:eastAsia="仿宋_GB2312" w:cs="黑体"/>
          <w:sz w:val="32"/>
          <w:szCs w:val="32"/>
          <w:lang w:val="en-US" w:eastAsia="zh-CN"/>
        </w:rPr>
      </w:pPr>
      <w:r>
        <w:rPr>
          <w:rFonts w:hint="eastAsia" w:ascii="仿宋_GB2312" w:hAnsi="黑体" w:eastAsia="仿宋_GB2312" w:cs="黑体"/>
          <w:sz w:val="32"/>
          <w:szCs w:val="32"/>
          <w:lang w:val="en-US" w:eastAsia="zh-CN"/>
        </w:rPr>
        <w:t>（4）《详细设计说明书》</w:t>
      </w:r>
    </w:p>
    <w:p>
      <w:pPr>
        <w:keepNext w:val="0"/>
        <w:keepLines w:val="0"/>
        <w:pageBreakBefore w:val="0"/>
        <w:widowControl/>
        <w:numPr>
          <w:ilvl w:val="0"/>
          <w:numId w:val="0"/>
        </w:numPr>
        <w:kinsoku/>
        <w:wordWrap/>
        <w:overflowPunct/>
        <w:topLinePunct w:val="0"/>
        <w:autoSpaceDE/>
        <w:autoSpaceDN/>
        <w:bidi w:val="0"/>
        <w:adjustRightInd/>
        <w:snapToGrid/>
        <w:spacing w:line="620" w:lineRule="exact"/>
        <w:ind w:leftChars="0" w:firstLine="640" w:firstLineChars="200"/>
        <w:jc w:val="left"/>
        <w:textAlignment w:val="auto"/>
        <w:rPr>
          <w:rFonts w:hint="eastAsia" w:ascii="仿宋_GB2312" w:hAnsi="黑体" w:eastAsia="仿宋_GB2312" w:cs="黑体"/>
          <w:sz w:val="32"/>
          <w:szCs w:val="32"/>
          <w:lang w:val="en-US" w:eastAsia="zh-CN"/>
        </w:rPr>
      </w:pPr>
      <w:r>
        <w:rPr>
          <w:rFonts w:hint="eastAsia" w:ascii="仿宋_GB2312" w:hAnsi="黑体" w:eastAsia="仿宋_GB2312" w:cs="黑体"/>
          <w:sz w:val="32"/>
          <w:szCs w:val="32"/>
          <w:lang w:val="en-US" w:eastAsia="zh-CN"/>
        </w:rPr>
        <w:t>（5）《数据库设计说明书》</w:t>
      </w:r>
    </w:p>
    <w:p>
      <w:pPr>
        <w:keepNext w:val="0"/>
        <w:keepLines w:val="0"/>
        <w:pageBreakBefore w:val="0"/>
        <w:widowControl/>
        <w:numPr>
          <w:ilvl w:val="0"/>
          <w:numId w:val="0"/>
        </w:numPr>
        <w:kinsoku/>
        <w:wordWrap/>
        <w:overflowPunct/>
        <w:topLinePunct w:val="0"/>
        <w:autoSpaceDE/>
        <w:autoSpaceDN/>
        <w:bidi w:val="0"/>
        <w:adjustRightInd/>
        <w:snapToGrid/>
        <w:spacing w:line="620" w:lineRule="exact"/>
        <w:ind w:leftChars="0" w:firstLine="640" w:firstLineChars="200"/>
        <w:jc w:val="left"/>
        <w:textAlignment w:val="auto"/>
        <w:rPr>
          <w:rFonts w:hint="eastAsia" w:ascii="仿宋_GB2312" w:hAnsi="黑体" w:eastAsia="仿宋_GB2312" w:cs="黑体"/>
          <w:sz w:val="32"/>
          <w:szCs w:val="32"/>
          <w:lang w:val="en-US" w:eastAsia="zh-CN"/>
        </w:rPr>
      </w:pPr>
      <w:r>
        <w:rPr>
          <w:rFonts w:hint="eastAsia" w:ascii="仿宋_GB2312" w:hAnsi="黑体" w:eastAsia="仿宋_GB2312" w:cs="黑体"/>
          <w:sz w:val="32"/>
          <w:szCs w:val="32"/>
          <w:lang w:val="en-US" w:eastAsia="zh-CN"/>
        </w:rPr>
        <w:t>（6）《用户使用手册》</w:t>
      </w:r>
    </w:p>
    <w:p>
      <w:pPr>
        <w:keepNext w:val="0"/>
        <w:keepLines w:val="0"/>
        <w:pageBreakBefore w:val="0"/>
        <w:widowControl/>
        <w:numPr>
          <w:ilvl w:val="0"/>
          <w:numId w:val="0"/>
        </w:numPr>
        <w:kinsoku/>
        <w:wordWrap/>
        <w:overflowPunct/>
        <w:topLinePunct w:val="0"/>
        <w:autoSpaceDE/>
        <w:autoSpaceDN/>
        <w:bidi w:val="0"/>
        <w:adjustRightInd/>
        <w:snapToGrid/>
        <w:spacing w:line="620" w:lineRule="exact"/>
        <w:ind w:leftChars="0" w:firstLine="640" w:firstLineChars="200"/>
        <w:jc w:val="left"/>
        <w:textAlignment w:val="auto"/>
        <w:rPr>
          <w:rFonts w:hint="eastAsia" w:ascii="仿宋_GB2312" w:hAnsi="黑体" w:eastAsia="仿宋_GB2312" w:cs="黑体"/>
          <w:sz w:val="32"/>
          <w:szCs w:val="32"/>
          <w:lang w:val="en-US" w:eastAsia="zh-CN"/>
        </w:rPr>
      </w:pPr>
      <w:r>
        <w:rPr>
          <w:rFonts w:hint="eastAsia" w:ascii="仿宋_GB2312" w:hAnsi="黑体" w:eastAsia="仿宋_GB2312" w:cs="黑体"/>
          <w:sz w:val="32"/>
          <w:szCs w:val="32"/>
          <w:lang w:val="en-US" w:eastAsia="zh-CN"/>
        </w:rPr>
        <w:t>（7）《项目试运行报告》</w:t>
      </w:r>
    </w:p>
    <w:p>
      <w:pPr>
        <w:keepNext w:val="0"/>
        <w:keepLines w:val="0"/>
        <w:pageBreakBefore w:val="0"/>
        <w:widowControl/>
        <w:numPr>
          <w:ilvl w:val="0"/>
          <w:numId w:val="0"/>
        </w:numPr>
        <w:kinsoku/>
        <w:wordWrap/>
        <w:overflowPunct/>
        <w:topLinePunct w:val="0"/>
        <w:autoSpaceDE/>
        <w:autoSpaceDN/>
        <w:bidi w:val="0"/>
        <w:adjustRightInd/>
        <w:snapToGrid/>
        <w:spacing w:line="620" w:lineRule="exact"/>
        <w:ind w:leftChars="0" w:firstLine="640" w:firstLineChars="200"/>
        <w:jc w:val="left"/>
        <w:textAlignment w:val="auto"/>
        <w:rPr>
          <w:rFonts w:hint="eastAsia" w:ascii="仿宋_GB2312" w:hAnsi="黑体" w:eastAsia="仿宋_GB2312" w:cs="黑体"/>
          <w:sz w:val="32"/>
          <w:szCs w:val="32"/>
          <w:lang w:val="en-US" w:eastAsia="zh-CN"/>
        </w:rPr>
      </w:pPr>
      <w:r>
        <w:rPr>
          <w:rFonts w:hint="eastAsia" w:ascii="仿宋_GB2312" w:hAnsi="黑体" w:eastAsia="仿宋_GB2312" w:cs="黑体"/>
          <w:sz w:val="32"/>
          <w:szCs w:val="32"/>
          <w:lang w:val="en-US" w:eastAsia="zh-CN"/>
        </w:rPr>
        <w:t>（8）《项目验收报告》</w:t>
      </w:r>
    </w:p>
    <w:p>
      <w:pPr>
        <w:keepNext w:val="0"/>
        <w:keepLines w:val="0"/>
        <w:pageBreakBefore w:val="0"/>
        <w:widowControl/>
        <w:numPr>
          <w:ilvl w:val="0"/>
          <w:numId w:val="0"/>
        </w:numPr>
        <w:kinsoku/>
        <w:wordWrap/>
        <w:overflowPunct/>
        <w:topLinePunct w:val="0"/>
        <w:autoSpaceDE/>
        <w:autoSpaceDN/>
        <w:bidi w:val="0"/>
        <w:adjustRightInd/>
        <w:snapToGrid/>
        <w:spacing w:line="620" w:lineRule="exact"/>
        <w:ind w:leftChars="0" w:firstLine="640" w:firstLineChars="200"/>
        <w:jc w:val="left"/>
        <w:textAlignment w:val="auto"/>
        <w:rPr>
          <w:rFonts w:hint="eastAsia" w:ascii="仿宋_GB2312" w:hAnsi="黑体" w:eastAsia="仿宋_GB2312" w:cs="黑体"/>
          <w:sz w:val="32"/>
          <w:szCs w:val="32"/>
          <w:lang w:val="en-US" w:eastAsia="zh-CN"/>
        </w:rPr>
      </w:pPr>
      <w:r>
        <w:rPr>
          <w:rFonts w:hint="eastAsia" w:ascii="仿宋_GB2312" w:hAnsi="黑体" w:eastAsia="仿宋_GB2312" w:cs="黑体"/>
          <w:sz w:val="32"/>
          <w:szCs w:val="32"/>
          <w:lang w:val="en-US" w:eastAsia="zh-CN"/>
        </w:rPr>
        <w:t>（9）《第三方测试报告》</w:t>
      </w:r>
    </w:p>
    <w:p>
      <w:pPr>
        <w:keepNext w:val="0"/>
        <w:keepLines w:val="0"/>
        <w:pageBreakBefore w:val="0"/>
        <w:widowControl/>
        <w:numPr>
          <w:ilvl w:val="0"/>
          <w:numId w:val="0"/>
        </w:numPr>
        <w:kinsoku/>
        <w:wordWrap/>
        <w:overflowPunct/>
        <w:topLinePunct w:val="0"/>
        <w:autoSpaceDE/>
        <w:autoSpaceDN/>
        <w:bidi w:val="0"/>
        <w:adjustRightInd/>
        <w:snapToGrid/>
        <w:spacing w:line="620" w:lineRule="exact"/>
        <w:ind w:leftChars="0" w:firstLine="640" w:firstLineChars="200"/>
        <w:jc w:val="left"/>
        <w:textAlignment w:val="auto"/>
        <w:rPr>
          <w:rFonts w:hint="eastAsia" w:ascii="仿宋_GB2312" w:hAnsi="黑体" w:eastAsia="仿宋_GB2312" w:cs="黑体"/>
          <w:sz w:val="32"/>
          <w:szCs w:val="32"/>
          <w:lang w:val="en-US" w:eastAsia="zh-CN"/>
        </w:rPr>
      </w:pPr>
      <w:r>
        <w:rPr>
          <w:rFonts w:hint="eastAsia" w:ascii="仿宋_GB2312" w:hAnsi="黑体" w:eastAsia="仿宋_GB2312" w:cs="黑体"/>
          <w:sz w:val="32"/>
          <w:szCs w:val="32"/>
          <w:lang w:val="en-US" w:eastAsia="zh-CN"/>
        </w:rPr>
        <w:t>（10）全部软件源代码和可执行程序、安装程序</w:t>
      </w:r>
    </w:p>
    <w:p>
      <w:pPr>
        <w:keepNext w:val="0"/>
        <w:keepLines w:val="0"/>
        <w:pageBreakBefore w:val="0"/>
        <w:widowControl/>
        <w:numPr>
          <w:ilvl w:val="0"/>
          <w:numId w:val="0"/>
        </w:numPr>
        <w:kinsoku/>
        <w:wordWrap/>
        <w:overflowPunct/>
        <w:topLinePunct w:val="0"/>
        <w:autoSpaceDE/>
        <w:autoSpaceDN/>
        <w:bidi w:val="0"/>
        <w:adjustRightInd/>
        <w:snapToGrid/>
        <w:spacing w:line="620" w:lineRule="exact"/>
        <w:ind w:leftChars="0" w:firstLine="640" w:firstLineChars="200"/>
        <w:jc w:val="left"/>
        <w:textAlignment w:val="auto"/>
        <w:rPr>
          <w:rFonts w:hint="default" w:ascii="仿宋_GB2312" w:hAnsi="黑体" w:eastAsia="仿宋_GB2312" w:cs="黑体"/>
          <w:sz w:val="32"/>
          <w:szCs w:val="32"/>
          <w:lang w:val="en-US" w:eastAsia="zh-CN"/>
        </w:rPr>
      </w:pPr>
      <w:r>
        <w:rPr>
          <w:rFonts w:hint="eastAsia" w:ascii="仿宋_GB2312" w:hAnsi="黑体" w:eastAsia="仿宋_GB2312" w:cs="黑体"/>
          <w:sz w:val="32"/>
          <w:szCs w:val="32"/>
          <w:lang w:val="en-US" w:eastAsia="zh-CN"/>
        </w:rPr>
        <w:t>进度要求：2024年11月底前完成项目验收。</w:t>
      </w:r>
    </w:p>
    <w:p>
      <w:pPr>
        <w:keepNext w:val="0"/>
        <w:keepLines w:val="0"/>
        <w:pageBreakBefore w:val="0"/>
        <w:widowControl/>
        <w:numPr>
          <w:ilvl w:val="0"/>
          <w:numId w:val="1"/>
        </w:numPr>
        <w:kinsoku/>
        <w:wordWrap/>
        <w:overflowPunct/>
        <w:topLinePunct w:val="0"/>
        <w:autoSpaceDE/>
        <w:autoSpaceDN/>
        <w:bidi w:val="0"/>
        <w:adjustRightInd/>
        <w:snapToGrid/>
        <w:spacing w:line="620" w:lineRule="exact"/>
        <w:ind w:lef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拟支持经费</w:t>
      </w:r>
    </w:p>
    <w:p>
      <w:pPr>
        <w:keepNext w:val="0"/>
        <w:keepLines w:val="0"/>
        <w:pageBreakBefore w:val="0"/>
        <w:widowControl/>
        <w:numPr>
          <w:ilvl w:val="0"/>
          <w:numId w:val="0"/>
        </w:numPr>
        <w:kinsoku/>
        <w:wordWrap/>
        <w:overflowPunct/>
        <w:topLinePunct w:val="0"/>
        <w:autoSpaceDE/>
        <w:autoSpaceDN/>
        <w:bidi w:val="0"/>
        <w:adjustRightInd/>
        <w:snapToGrid/>
        <w:spacing w:line="620" w:lineRule="exact"/>
        <w:ind w:leftChars="0" w:firstLine="640" w:firstLineChars="200"/>
        <w:jc w:val="left"/>
        <w:textAlignment w:val="auto"/>
        <w:rPr>
          <w:rFonts w:hint="default" w:ascii="仿宋_GB2312" w:hAnsi="黑体" w:eastAsia="仿宋_GB2312" w:cs="黑体"/>
          <w:sz w:val="32"/>
          <w:szCs w:val="32"/>
          <w:lang w:val="en-US" w:eastAsia="zh-CN"/>
        </w:rPr>
      </w:pPr>
      <w:r>
        <w:rPr>
          <w:rFonts w:hint="eastAsia" w:ascii="仿宋_GB2312" w:hAnsi="黑体" w:eastAsia="仿宋_GB2312" w:cs="黑体"/>
          <w:sz w:val="32"/>
          <w:szCs w:val="32"/>
          <w:lang w:val="en-US" w:eastAsia="zh-CN"/>
        </w:rPr>
        <w:t>不高于62.4万元。</w:t>
      </w:r>
    </w:p>
    <w:p>
      <w:pPr>
        <w:keepNext w:val="0"/>
        <w:keepLines w:val="0"/>
        <w:pageBreakBefore w:val="0"/>
        <w:widowControl/>
        <w:numPr>
          <w:ilvl w:val="0"/>
          <w:numId w:val="1"/>
        </w:numPr>
        <w:kinsoku/>
        <w:wordWrap/>
        <w:overflowPunct/>
        <w:topLinePunct w:val="0"/>
        <w:autoSpaceDE/>
        <w:autoSpaceDN/>
        <w:bidi w:val="0"/>
        <w:adjustRightInd/>
        <w:snapToGrid/>
        <w:spacing w:line="620" w:lineRule="exact"/>
        <w:ind w:lef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申报条件</w:t>
      </w:r>
    </w:p>
    <w:p>
      <w:pPr>
        <w:pStyle w:val="9"/>
        <w:spacing w:line="620" w:lineRule="exact"/>
        <w:ind w:firstLine="64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（一）在中华人民共和国境内注册具有独立法人资格的企事业单位均可申报；</w:t>
      </w:r>
    </w:p>
    <w:p>
      <w:pPr>
        <w:pStyle w:val="9"/>
        <w:spacing w:line="620" w:lineRule="exact"/>
        <w:ind w:firstLine="64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hint="default" w:ascii="Times New Roman" w:hAnsi="Times New Roman" w:eastAsia="仿宋_GB2312" w:cs="Times New Roman"/>
          <w:sz w:val="32"/>
          <w:szCs w:val="32"/>
        </w:rPr>
        <w:t>申报单位需配置独立办公场所，从业人员数量和技术职称满足项目的要求；</w:t>
      </w:r>
    </w:p>
    <w:p>
      <w:pPr>
        <w:pStyle w:val="9"/>
        <w:spacing w:line="620" w:lineRule="exact"/>
        <w:ind w:firstLine="64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申报单位应具有良好的信誉和健全的财务会计制度；</w:t>
      </w:r>
    </w:p>
    <w:p>
      <w:pPr>
        <w:pStyle w:val="9"/>
        <w:spacing w:line="620" w:lineRule="exact"/>
        <w:ind w:firstLine="64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四</w:t>
      </w:r>
      <w:r>
        <w:rPr>
          <w:rFonts w:hint="eastAsia" w:ascii="Times New Roman" w:hAnsi="Times New Roman" w:eastAsia="仿宋_GB2312" w:cs="Times New Roman"/>
          <w:sz w:val="32"/>
          <w:szCs w:val="32"/>
        </w:rPr>
        <w:t>）有依法缴纳税收良好记录，申报前三年内，在经营活动中没有重大违法记录（提供202</w:t>
      </w:r>
      <w:r>
        <w:rPr>
          <w:rFonts w:hint="eastAsia" w:ascii="Times New Roman" w:hAnsi="Times New Roman" w:eastAsia="仿宋_GB2312" w:cs="Times New Roman"/>
          <w:sz w:val="32"/>
          <w:szCs w:val="32"/>
          <w:lang w:val="en-US" w:eastAsia="zh-CN"/>
        </w:rPr>
        <w:t>3</w:t>
      </w:r>
      <w:r>
        <w:rPr>
          <w:rFonts w:hint="eastAsia" w:ascii="Times New Roman" w:hAnsi="Times New Roman" w:eastAsia="仿宋_GB2312" w:cs="Times New Roman"/>
          <w:sz w:val="32"/>
          <w:szCs w:val="32"/>
        </w:rPr>
        <w:t>年任意六个月税收证明、三年内无重大违法记录声明）；</w:t>
      </w:r>
    </w:p>
    <w:p>
      <w:pPr>
        <w:spacing w:line="620" w:lineRule="exact"/>
        <w:ind w:firstLine="640" w:firstLineChars="200"/>
        <w:rPr>
          <w:rFonts w:hint="default" w:ascii="Times New Roman" w:hAnsi="Times New Roman" w:eastAsia="仿宋_GB2312" w:cs="Times New Roman"/>
          <w:sz w:val="32"/>
          <w:szCs w:val="32"/>
        </w:rPr>
      </w:pPr>
      <w:r>
        <w:rPr>
          <w:rFonts w:hint="eastAsia" w:eastAsia="仿宋_GB2312" w:cs="Times New Roman"/>
          <w:sz w:val="32"/>
          <w:szCs w:val="32"/>
          <w:lang w:eastAsia="zh-CN"/>
        </w:rPr>
        <w:t>（</w:t>
      </w:r>
      <w:r>
        <w:rPr>
          <w:rFonts w:hint="eastAsia" w:eastAsia="仿宋_GB2312" w:cs="Times New Roman"/>
          <w:sz w:val="32"/>
          <w:szCs w:val="32"/>
          <w:lang w:val="en-US" w:eastAsia="zh-CN"/>
        </w:rPr>
        <w:t>五</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申报单位</w:t>
      </w:r>
      <w:r>
        <w:rPr>
          <w:rFonts w:hint="default" w:ascii="Times New Roman" w:hAnsi="Times New Roman" w:eastAsia="仿宋_GB2312" w:cs="Times New Roman"/>
          <w:sz w:val="32"/>
          <w:szCs w:val="32"/>
          <w:lang w:val="en-US" w:eastAsia="zh-CN"/>
        </w:rPr>
        <w:t>应</w:t>
      </w:r>
      <w:r>
        <w:rPr>
          <w:rFonts w:hint="default" w:ascii="Times New Roman" w:hAnsi="Times New Roman" w:eastAsia="仿宋_GB2312" w:cs="Times New Roman"/>
          <w:sz w:val="32"/>
          <w:szCs w:val="32"/>
        </w:rPr>
        <w:t>具有</w:t>
      </w:r>
      <w:r>
        <w:rPr>
          <w:rFonts w:hint="default" w:ascii="Times New Roman" w:hAnsi="Times New Roman" w:eastAsia="仿宋_GB2312" w:cs="Times New Roman"/>
          <w:kern w:val="0"/>
          <w:sz w:val="32"/>
          <w:szCs w:val="32"/>
        </w:rPr>
        <w:t>参与生态环境保护基础研究工作的经验；</w:t>
      </w:r>
    </w:p>
    <w:p>
      <w:pPr>
        <w:pStyle w:val="9"/>
        <w:spacing w:line="620" w:lineRule="exact"/>
        <w:ind w:firstLine="640"/>
        <w:rPr>
          <w:rFonts w:hint="eastAsia" w:ascii="仿宋_GB2312" w:hAnsi="黑体" w:eastAsia="仿宋_GB2312" w:cs="黑体"/>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六</w:t>
      </w:r>
      <w:r>
        <w:rPr>
          <w:rFonts w:hint="eastAsia" w:ascii="Times New Roman" w:hAnsi="Times New Roman" w:eastAsia="仿宋_GB2312" w:cs="Times New Roman"/>
          <w:sz w:val="32"/>
          <w:szCs w:val="32"/>
        </w:rPr>
        <w:t>）本次公开征集不接受个人申请。</w:t>
      </w:r>
    </w:p>
    <w:p>
      <w:pPr>
        <w:keepNext w:val="0"/>
        <w:keepLines w:val="0"/>
        <w:pageBreakBefore w:val="0"/>
        <w:widowControl/>
        <w:numPr>
          <w:ilvl w:val="0"/>
          <w:numId w:val="1"/>
        </w:numPr>
        <w:kinsoku/>
        <w:wordWrap/>
        <w:overflowPunct/>
        <w:topLinePunct w:val="0"/>
        <w:autoSpaceDE/>
        <w:autoSpaceDN/>
        <w:bidi w:val="0"/>
        <w:adjustRightInd/>
        <w:snapToGrid/>
        <w:spacing w:line="620" w:lineRule="exact"/>
        <w:ind w:lef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申请受理</w:t>
      </w:r>
    </w:p>
    <w:p>
      <w:pPr>
        <w:pStyle w:val="9"/>
        <w:spacing w:line="62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公开</w:t>
      </w:r>
      <w:r>
        <w:rPr>
          <w:rFonts w:hint="eastAsia" w:eastAsia="仿宋_GB2312" w:cs="Times New Roman"/>
          <w:sz w:val="32"/>
          <w:szCs w:val="32"/>
          <w:lang w:val="en-US" w:eastAsia="zh-CN"/>
        </w:rPr>
        <w:t>征集</w:t>
      </w:r>
      <w:r>
        <w:rPr>
          <w:rFonts w:hint="default" w:ascii="Times New Roman" w:hAnsi="Times New Roman" w:eastAsia="仿宋_GB2312" w:cs="Times New Roman"/>
          <w:sz w:val="32"/>
          <w:szCs w:val="32"/>
        </w:rPr>
        <w:t>工作自本公告公布之日起开始，参加</w:t>
      </w:r>
      <w:r>
        <w:rPr>
          <w:rFonts w:hint="eastAsia" w:eastAsia="仿宋_GB2312" w:cs="Times New Roman"/>
          <w:sz w:val="32"/>
          <w:szCs w:val="32"/>
          <w:lang w:val="en-US" w:eastAsia="zh-CN"/>
        </w:rPr>
        <w:t>征集</w:t>
      </w:r>
      <w:r>
        <w:rPr>
          <w:rFonts w:hint="default" w:ascii="Times New Roman" w:hAnsi="Times New Roman" w:eastAsia="仿宋_GB2312" w:cs="Times New Roman"/>
          <w:sz w:val="32"/>
          <w:szCs w:val="32"/>
        </w:rPr>
        <w:t>单位可登录网站（中国环境影响评价网http://www.china-eia.com），下载相关材料。</w:t>
      </w:r>
    </w:p>
    <w:p>
      <w:pPr>
        <w:pStyle w:val="9"/>
        <w:spacing w:line="620" w:lineRule="exact"/>
        <w:ind w:firstLine="419" w:firstLineChars="131"/>
        <w:outlineLvl w:val="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（一）申报文件</w:t>
      </w:r>
    </w:p>
    <w:p>
      <w:pPr>
        <w:spacing w:line="6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申请文件由申请函、项目申报书及其它支撑性材料构成（如相关研究成果、获奖情况等）。</w:t>
      </w:r>
    </w:p>
    <w:p>
      <w:pPr>
        <w:pStyle w:val="9"/>
        <w:spacing w:line="620" w:lineRule="exact"/>
        <w:ind w:firstLine="419" w:firstLineChars="131"/>
        <w:outlineLvl w:val="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（二）申报文件的格式</w:t>
      </w:r>
    </w:p>
    <w:p>
      <w:pPr>
        <w:spacing w:line="62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1.申报文件正文为4号宋体字，1.5倍行距，不得行间插字、涂改或增删。</w:t>
      </w:r>
    </w:p>
    <w:p>
      <w:pPr>
        <w:spacing w:line="62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2.申报文件外形尺寸应统一为A4纸规格，采用双面印刷，普通纸质材料作为封面，侧面装订，不采用胶圈、文件夹等带有突出棱边的装订方式。</w:t>
      </w:r>
    </w:p>
    <w:p>
      <w:pPr>
        <w:spacing w:line="62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3.申报文件因字迹潦草或表达不清而造成的不良后果，由项目申报单位自负。</w:t>
      </w:r>
    </w:p>
    <w:p>
      <w:pPr>
        <w:spacing w:line="620" w:lineRule="exact"/>
        <w:ind w:firstLine="600"/>
        <w:outlineLvl w:val="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（三）申报须知</w:t>
      </w:r>
    </w:p>
    <w:p>
      <w:pPr>
        <w:spacing w:line="62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1.申报单位应准备申报文件正本1份，副本</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份，电子文档1份（word格式，发送到联系人邮箱）。如果申报电子文档与文字文件不符，以文字文件为准。</w:t>
      </w:r>
    </w:p>
    <w:p>
      <w:pPr>
        <w:spacing w:line="62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2.申报单位应根据申报文件的要求，在申报文件适当的位置填写项目申报单位全称、加盖项目申报单位印章、签署法定代表人的全名。</w:t>
      </w:r>
    </w:p>
    <w:p>
      <w:pPr>
        <w:spacing w:line="62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3.申报文件的正本必须用不褪色的墨水笔填写或打印，注明“正本”字样。</w:t>
      </w:r>
    </w:p>
    <w:p>
      <w:pPr>
        <w:spacing w:line="620" w:lineRule="exact"/>
        <w:ind w:firstLine="600"/>
        <w:outlineLvl w:val="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（四）申报文件的密封和标记</w:t>
      </w:r>
    </w:p>
    <w:p>
      <w:pPr>
        <w:spacing w:line="62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1.项目申报单位应将申报文件正本和副本分别装入信封后密封，并在信封上标明项目名称、项目申报单位名称和地址，及“正本”或“副本”，封口处加盖项目申报单位印章。</w:t>
      </w:r>
    </w:p>
    <w:p>
      <w:pPr>
        <w:spacing w:line="62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2.每一密封信封上注明“在评估日期及时间之前不准启封”的字样。</w:t>
      </w:r>
    </w:p>
    <w:p>
      <w:pPr>
        <w:spacing w:line="62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 如果未按上述规定密封和标记，评估中心对申报文件的误投或提前拆封不负责任。</w:t>
      </w:r>
    </w:p>
    <w:p>
      <w:pPr>
        <w:spacing w:line="620" w:lineRule="exact"/>
        <w:ind w:firstLine="600"/>
        <w:outlineLvl w:val="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（五）申报文件的递交</w:t>
      </w:r>
    </w:p>
    <w:p>
      <w:pPr>
        <w:spacing w:line="620" w:lineRule="exac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1．递交申报文件的截止时间为</w:t>
      </w:r>
      <w:bookmarkStart w:id="0" w:name="_GoBack"/>
      <w:r>
        <w:rPr>
          <w:rFonts w:hint="default" w:ascii="Times New Roman" w:hAnsi="Times New Roman" w:eastAsia="仿宋_GB2312" w:cs="Times New Roman"/>
          <w:sz w:val="32"/>
          <w:szCs w:val="32"/>
          <w:highlight w:val="none"/>
        </w:rPr>
        <w:t>：202</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w:t>
      </w:r>
      <w:r>
        <w:rPr>
          <w:rFonts w:hint="eastAsia"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月</w:t>
      </w:r>
      <w:r>
        <w:rPr>
          <w:rFonts w:hint="eastAsia" w:eastAsia="仿宋_GB2312" w:cs="Times New Roman"/>
          <w:sz w:val="32"/>
          <w:szCs w:val="32"/>
          <w:highlight w:val="none"/>
          <w:lang w:val="en-US" w:eastAsia="zh-CN"/>
        </w:rPr>
        <w:t>18</w:t>
      </w:r>
      <w:r>
        <w:rPr>
          <w:rFonts w:hint="default" w:ascii="Times New Roman" w:hAnsi="Times New Roman" w:eastAsia="仿宋_GB2312" w:cs="Times New Roman"/>
          <w:sz w:val="32"/>
          <w:szCs w:val="32"/>
          <w:highlight w:val="none"/>
        </w:rPr>
        <w:t>日</w:t>
      </w:r>
      <w:bookmarkEnd w:id="0"/>
      <w:r>
        <w:rPr>
          <w:rFonts w:hint="eastAsia" w:ascii="仿宋_GB2312" w:eastAsia="仿宋_GB2312"/>
          <w:sz w:val="32"/>
          <w:szCs w:val="32"/>
        </w:rPr>
        <w:t>17:00点</w:t>
      </w:r>
      <w:r>
        <w:rPr>
          <w:rFonts w:hint="default" w:ascii="Times New Roman" w:hAnsi="Times New Roman" w:eastAsia="仿宋_GB2312" w:cs="Times New Roman"/>
          <w:sz w:val="32"/>
          <w:szCs w:val="32"/>
        </w:rPr>
        <w:t>，并同时发送电子文档至</w:t>
      </w:r>
      <w:r>
        <w:rPr>
          <w:rFonts w:hint="eastAsia" w:eastAsia="仿宋_GB2312" w:cs="Times New Roman"/>
          <w:sz w:val="32"/>
          <w:szCs w:val="32"/>
          <w:highlight w:val="none"/>
          <w:lang w:val="en-US" w:eastAsia="zh-CN"/>
        </w:rPr>
        <w:t>17470683</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val="en-US" w:eastAsia="zh-CN"/>
        </w:rPr>
        <w:t>qq</w:t>
      </w:r>
      <w:r>
        <w:rPr>
          <w:rFonts w:hint="default" w:ascii="Times New Roman" w:hAnsi="Times New Roman" w:eastAsia="仿宋_GB2312" w:cs="Times New Roman"/>
          <w:sz w:val="32"/>
          <w:szCs w:val="32"/>
          <w:highlight w:val="none"/>
        </w:rPr>
        <w:t>.c</w:t>
      </w:r>
      <w:r>
        <w:rPr>
          <w:rFonts w:hint="eastAsia" w:eastAsia="仿宋_GB2312" w:cs="Times New Roman"/>
          <w:sz w:val="32"/>
          <w:szCs w:val="32"/>
          <w:highlight w:val="none"/>
          <w:lang w:val="en-US" w:eastAsia="zh-CN"/>
        </w:rPr>
        <w:t>om</w:t>
      </w:r>
      <w:r>
        <w:rPr>
          <w:rFonts w:hint="default" w:ascii="Times New Roman" w:hAnsi="Times New Roman" w:eastAsia="仿宋_GB2312" w:cs="Times New Roman"/>
          <w:sz w:val="32"/>
          <w:szCs w:val="32"/>
        </w:rPr>
        <w:t>。</w:t>
      </w:r>
    </w:p>
    <w:p>
      <w:pPr>
        <w:spacing w:line="6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2.申报文件送达地点：北京市</w:t>
      </w:r>
      <w:r>
        <w:rPr>
          <w:rFonts w:hint="eastAsia" w:eastAsia="仿宋_GB2312" w:cs="Times New Roman"/>
          <w:sz w:val="32"/>
          <w:szCs w:val="32"/>
          <w:lang w:val="en-US" w:eastAsia="zh-CN"/>
        </w:rPr>
        <w:t>石景山</w:t>
      </w:r>
      <w:r>
        <w:rPr>
          <w:rFonts w:hint="default" w:ascii="Times New Roman" w:hAnsi="Times New Roman" w:eastAsia="仿宋_GB2312" w:cs="Times New Roman"/>
          <w:sz w:val="32"/>
          <w:szCs w:val="32"/>
        </w:rPr>
        <w:t>区</w:t>
      </w:r>
      <w:r>
        <w:rPr>
          <w:rFonts w:hint="eastAsia" w:eastAsia="仿宋_GB2312" w:cs="Times New Roman"/>
          <w:sz w:val="32"/>
          <w:szCs w:val="32"/>
          <w:lang w:val="en-US" w:eastAsia="zh-CN"/>
        </w:rPr>
        <w:t>实兴大街15</w:t>
      </w:r>
      <w:r>
        <w:rPr>
          <w:rFonts w:hint="default" w:ascii="Times New Roman" w:hAnsi="Times New Roman" w:eastAsia="仿宋_GB2312" w:cs="Times New Roman"/>
          <w:sz w:val="32"/>
          <w:szCs w:val="32"/>
        </w:rPr>
        <w:t>号院 生态环境部环境工程评估中心；邮编：1000</w:t>
      </w:r>
      <w:r>
        <w:rPr>
          <w:rFonts w:hint="eastAsia" w:eastAsia="仿宋_GB2312" w:cs="Times New Roman"/>
          <w:sz w:val="32"/>
          <w:szCs w:val="32"/>
          <w:lang w:val="en-US" w:eastAsia="zh-CN"/>
        </w:rPr>
        <w:t>41</w:t>
      </w:r>
      <w:r>
        <w:rPr>
          <w:rFonts w:hint="default" w:ascii="Times New Roman" w:hAnsi="Times New Roman" w:eastAsia="仿宋_GB2312" w:cs="Times New Roman"/>
          <w:sz w:val="32"/>
          <w:szCs w:val="32"/>
        </w:rPr>
        <w:t>；联系人：</w:t>
      </w:r>
      <w:r>
        <w:rPr>
          <w:rFonts w:hint="eastAsia" w:eastAsia="仿宋_GB2312" w:cs="Times New Roman"/>
          <w:sz w:val="32"/>
          <w:szCs w:val="32"/>
          <w:lang w:val="en-US" w:eastAsia="zh-CN"/>
        </w:rPr>
        <w:t>赵越</w:t>
      </w:r>
      <w:r>
        <w:rPr>
          <w:rFonts w:hint="default" w:ascii="Times New Roman" w:hAnsi="Times New Roman" w:eastAsia="仿宋_GB2312" w:cs="Times New Roman"/>
          <w:sz w:val="32"/>
          <w:szCs w:val="32"/>
        </w:rPr>
        <w:t>；联系电话：</w:t>
      </w:r>
      <w:r>
        <w:rPr>
          <w:rFonts w:hint="eastAsia" w:eastAsia="仿宋_GB2312" w:cs="Times New Roman"/>
          <w:sz w:val="32"/>
          <w:szCs w:val="32"/>
          <w:lang w:val="en-US" w:eastAsia="zh-CN"/>
        </w:rPr>
        <w:t>010-84757232</w:t>
      </w:r>
      <w:r>
        <w:rPr>
          <w:rFonts w:hint="default" w:ascii="Times New Roman" w:hAnsi="Times New Roman" w:eastAsia="仿宋_GB2312" w:cs="Times New Roman"/>
          <w:sz w:val="32"/>
          <w:szCs w:val="32"/>
        </w:rPr>
        <w:t>。</w:t>
      </w:r>
    </w:p>
    <w:p>
      <w:pPr>
        <w:keepNext w:val="0"/>
        <w:keepLines w:val="0"/>
        <w:pageBreakBefore w:val="0"/>
        <w:widowControl/>
        <w:numPr>
          <w:ilvl w:val="0"/>
          <w:numId w:val="0"/>
        </w:numPr>
        <w:kinsoku/>
        <w:wordWrap/>
        <w:overflowPunct/>
        <w:topLinePunct w:val="0"/>
        <w:autoSpaceDE/>
        <w:autoSpaceDN/>
        <w:bidi w:val="0"/>
        <w:adjustRightInd/>
        <w:snapToGrid/>
        <w:spacing w:line="620" w:lineRule="exact"/>
        <w:ind w:leftChars="0" w:firstLine="640" w:firstLineChars="200"/>
        <w:jc w:val="left"/>
        <w:textAlignment w:val="auto"/>
        <w:rPr>
          <w:rFonts w:hint="eastAsia" w:ascii="仿宋_GB2312" w:hAnsi="黑体" w:eastAsia="仿宋_GB2312" w:cs="黑体"/>
          <w:sz w:val="32"/>
          <w:szCs w:val="32"/>
        </w:rPr>
      </w:pPr>
      <w:r>
        <w:rPr>
          <w:rFonts w:hint="default" w:ascii="Times New Roman" w:hAnsi="Times New Roman" w:eastAsia="仿宋_GB2312" w:cs="Times New Roman"/>
          <w:sz w:val="32"/>
          <w:szCs w:val="32"/>
        </w:rPr>
        <w:t>3.项目申报单位应将申报文件的正本和所有副本在申报截止时间前递交到指定送达地点。在申报截止时间之后，项目申报单位不得对其申报文件做任何修改。</w:t>
      </w:r>
    </w:p>
    <w:p>
      <w:pPr>
        <w:keepNext w:val="0"/>
        <w:keepLines w:val="0"/>
        <w:pageBreakBefore w:val="0"/>
        <w:widowControl/>
        <w:numPr>
          <w:ilvl w:val="0"/>
          <w:numId w:val="1"/>
        </w:numPr>
        <w:kinsoku/>
        <w:wordWrap/>
        <w:overflowPunct/>
        <w:topLinePunct w:val="0"/>
        <w:autoSpaceDE/>
        <w:autoSpaceDN/>
        <w:bidi w:val="0"/>
        <w:adjustRightInd/>
        <w:snapToGrid/>
        <w:spacing w:line="620" w:lineRule="exact"/>
        <w:ind w:lef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申报文件评审与结果公示</w:t>
      </w:r>
    </w:p>
    <w:p>
      <w:pPr>
        <w:spacing w:line="620" w:lineRule="exact"/>
        <w:ind w:firstLine="640" w:firstLineChars="200"/>
        <w:rPr>
          <w:rFonts w:hint="eastAsia" w:ascii="仿宋_GB2312" w:hAnsi="黑体" w:eastAsia="仿宋_GB2312"/>
          <w:sz w:val="32"/>
          <w:szCs w:val="32"/>
        </w:rPr>
      </w:pPr>
      <w:r>
        <w:rPr>
          <w:rFonts w:hint="default" w:ascii="Times New Roman" w:hAnsi="Times New Roman" w:eastAsia="仿宋_GB2312" w:cs="Times New Roman"/>
          <w:sz w:val="32"/>
          <w:szCs w:val="32"/>
        </w:rPr>
        <w:t>评估中心将在申报受理结束后组织专家评审，对申请单位的方案进行评估，主要考核技术方案、工作业绩和工作基础、组织实施能力。择优确定承担单位后</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在中国环境影响评价网进行公示。</w:t>
      </w:r>
    </w:p>
    <w:p>
      <w:pPr>
        <w:keepNext w:val="0"/>
        <w:keepLines w:val="0"/>
        <w:pageBreakBefore w:val="0"/>
        <w:widowControl/>
        <w:numPr>
          <w:ilvl w:val="0"/>
          <w:numId w:val="1"/>
        </w:numPr>
        <w:kinsoku/>
        <w:wordWrap/>
        <w:overflowPunct/>
        <w:topLinePunct w:val="0"/>
        <w:autoSpaceDE/>
        <w:autoSpaceDN/>
        <w:bidi w:val="0"/>
        <w:adjustRightInd/>
        <w:snapToGrid/>
        <w:spacing w:line="620" w:lineRule="exact"/>
        <w:ind w:left="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其他注意事项</w:t>
      </w:r>
    </w:p>
    <w:p>
      <w:pPr>
        <w:spacing w:line="6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（一）评估中心将指定专人负责</w:t>
      </w:r>
      <w:r>
        <w:rPr>
          <w:rFonts w:hint="eastAsia" w:eastAsia="仿宋_GB2312" w:cs="Times New Roman"/>
          <w:sz w:val="32"/>
          <w:szCs w:val="32"/>
          <w:lang w:val="en-US" w:eastAsia="zh-CN"/>
        </w:rPr>
        <w:t>项目</w:t>
      </w:r>
      <w:r>
        <w:rPr>
          <w:rFonts w:hint="default" w:ascii="Times New Roman" w:hAnsi="Times New Roman" w:eastAsia="仿宋_GB2312" w:cs="Times New Roman"/>
          <w:sz w:val="32"/>
          <w:szCs w:val="32"/>
        </w:rPr>
        <w:t>的跟踪管理。公开征集选定的承担单位，应按</w:t>
      </w:r>
      <w:r>
        <w:rPr>
          <w:rFonts w:hint="eastAsia" w:eastAsia="仿宋_GB2312" w:cs="Times New Roman"/>
          <w:sz w:val="32"/>
          <w:szCs w:val="32"/>
          <w:lang w:val="en-US" w:eastAsia="zh-CN"/>
        </w:rPr>
        <w:t>项目</w:t>
      </w:r>
      <w:r>
        <w:rPr>
          <w:rFonts w:hint="default" w:ascii="Times New Roman" w:hAnsi="Times New Roman" w:eastAsia="仿宋_GB2312" w:cs="Times New Roman"/>
          <w:sz w:val="32"/>
          <w:szCs w:val="32"/>
        </w:rPr>
        <w:t>管理要求细化实施方案，进一步明确相关配套条件、阶段进度等。</w:t>
      </w:r>
    </w:p>
    <w:p>
      <w:pPr>
        <w:spacing w:line="6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（二）工作期内，评估中心可依据工作需要，要求承担单位作若干进展情况汇报。</w:t>
      </w:r>
    </w:p>
    <w:p>
      <w:pPr>
        <w:spacing w:line="62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（三）项目所涉及的有关研究成果及其知识产权，按国家有关规定执行。</w:t>
      </w:r>
    </w:p>
    <w:p>
      <w:pPr>
        <w:keepNext w:val="0"/>
        <w:keepLines w:val="0"/>
        <w:pageBreakBefore w:val="0"/>
        <w:widowControl/>
        <w:numPr>
          <w:ilvl w:val="0"/>
          <w:numId w:val="0"/>
        </w:numPr>
        <w:kinsoku/>
        <w:wordWrap/>
        <w:overflowPunct/>
        <w:topLinePunct w:val="0"/>
        <w:autoSpaceDE/>
        <w:autoSpaceDN/>
        <w:bidi w:val="0"/>
        <w:adjustRightInd/>
        <w:snapToGrid/>
        <w:spacing w:line="620" w:lineRule="exact"/>
        <w:ind w:leftChars="0" w:firstLine="640" w:firstLineChars="200"/>
        <w:jc w:val="left"/>
        <w:textAlignment w:val="auto"/>
        <w:rPr>
          <w:rFonts w:hint="eastAsia" w:ascii="仿宋_GB2312" w:eastAsia="仿宋_GB2312"/>
          <w:sz w:val="32"/>
          <w:szCs w:val="32"/>
        </w:rPr>
      </w:pPr>
    </w:p>
    <w:p>
      <w:pPr>
        <w:spacing w:line="620" w:lineRule="exact"/>
        <w:ind w:firstLine="640" w:firstLineChars="200"/>
        <w:jc w:val="left"/>
        <w:rPr>
          <w:rFonts w:ascii="仿宋_GB2312" w:eastAsia="仿宋_GB2312"/>
          <w:sz w:val="32"/>
          <w:szCs w:val="32"/>
        </w:rPr>
      </w:pPr>
    </w:p>
    <w:p>
      <w:pPr>
        <w:spacing w:line="620" w:lineRule="exact"/>
        <w:ind w:firstLine="640" w:firstLineChars="200"/>
        <w:jc w:val="left"/>
        <w:rPr>
          <w:rFonts w:ascii="仿宋_GB2312" w:eastAsia="仿宋_GB2312"/>
          <w:sz w:val="32"/>
          <w:szCs w:val="32"/>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545C501-CD14-4229-AF18-C79C44D0F53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B57E8D8-FE51-4E64-88EC-1F4652E263C1}"/>
  </w:font>
  <w:font w:name="方正小标宋简体">
    <w:panose1 w:val="03000509000000000000"/>
    <w:charset w:val="86"/>
    <w:family w:val="auto"/>
    <w:pitch w:val="default"/>
    <w:sig w:usb0="00000001" w:usb1="080E0000" w:usb2="00000000" w:usb3="00000000" w:csb0="00040000" w:csb1="00000000"/>
    <w:embedRegular r:id="rId3" w:fontKey="{A3471949-86E6-4C78-A867-D5527535214E}"/>
  </w:font>
  <w:font w:name="仿宋_GB2312">
    <w:panose1 w:val="02010609030101010101"/>
    <w:charset w:val="86"/>
    <w:family w:val="modern"/>
    <w:pitch w:val="default"/>
    <w:sig w:usb0="00000001" w:usb1="080E0000" w:usb2="00000000" w:usb3="00000000" w:csb0="00040000" w:csb1="00000000"/>
    <w:embedRegular r:id="rId4" w:fontKey="{9A8D508E-BA08-4C9B-868F-54074FE59C41}"/>
  </w:font>
  <w:font w:name="楷体_GB2312">
    <w:panose1 w:val="02010609030101010101"/>
    <w:charset w:val="86"/>
    <w:family w:val="modern"/>
    <w:pitch w:val="default"/>
    <w:sig w:usb0="00000001" w:usb1="080E0000" w:usb2="00000000" w:usb3="00000000" w:csb0="00040000" w:csb1="00000000"/>
    <w:embedRegular r:id="rId5" w:fontKey="{B9939E56-433E-434D-AFC9-6C3F63995ABA}"/>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6FBB29"/>
    <w:multiLevelType w:val="singleLevel"/>
    <w:tmpl w:val="A06FBB2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zMWU2YWJiYjg1ZTZmZmZkZGRkOTNjMzU0NDRmNzkifQ=="/>
  </w:docVars>
  <w:rsids>
    <w:rsidRoot w:val="00000000"/>
    <w:rsid w:val="02330C86"/>
    <w:rsid w:val="0300523C"/>
    <w:rsid w:val="03A52548"/>
    <w:rsid w:val="03E41173"/>
    <w:rsid w:val="04137FB7"/>
    <w:rsid w:val="0BED6A66"/>
    <w:rsid w:val="0CC26A29"/>
    <w:rsid w:val="108E3E14"/>
    <w:rsid w:val="1215050E"/>
    <w:rsid w:val="1BE42384"/>
    <w:rsid w:val="1D0565B3"/>
    <w:rsid w:val="1E223FC5"/>
    <w:rsid w:val="2CD52405"/>
    <w:rsid w:val="2D6438CF"/>
    <w:rsid w:val="2F8F5849"/>
    <w:rsid w:val="3F7939C1"/>
    <w:rsid w:val="40E66024"/>
    <w:rsid w:val="411A472E"/>
    <w:rsid w:val="438F5E4E"/>
    <w:rsid w:val="45AE24E3"/>
    <w:rsid w:val="462D10E5"/>
    <w:rsid w:val="464832DB"/>
    <w:rsid w:val="4EA67627"/>
    <w:rsid w:val="4F0F02A2"/>
    <w:rsid w:val="4F25764F"/>
    <w:rsid w:val="5066537E"/>
    <w:rsid w:val="546E14B8"/>
    <w:rsid w:val="55093198"/>
    <w:rsid w:val="5B1F2799"/>
    <w:rsid w:val="61F66962"/>
    <w:rsid w:val="651F2600"/>
    <w:rsid w:val="66BA2663"/>
    <w:rsid w:val="6AE569BA"/>
    <w:rsid w:val="6B991BD9"/>
    <w:rsid w:val="70DA65F7"/>
    <w:rsid w:val="7C175F5D"/>
    <w:rsid w:val="7D9F7F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a heading"/>
    <w:basedOn w:val="1"/>
    <w:next w:val="1"/>
    <w:unhideWhenUsed/>
    <w:qFormat/>
    <w:uiPriority w:val="99"/>
    <w:pPr>
      <w:spacing w:before="120" w:after="100" w:afterAutospacing="1"/>
      <w:outlineLvl w:val="0"/>
    </w:pPr>
    <w:rPr>
      <w:rFonts w:ascii="宋体" w:hAnsi="Calibri" w:cs="宋体"/>
      <w:bCs/>
      <w:kern w:val="0"/>
      <w:sz w:val="28"/>
      <w:szCs w:val="28"/>
    </w:r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envelope return"/>
    <w:basedOn w:val="1"/>
    <w:qFormat/>
    <w:uiPriority w:val="0"/>
    <w:pPr>
      <w:snapToGrid w:val="0"/>
      <w:ind w:firstLine="480"/>
      <w:jc w:val="center"/>
    </w:pPr>
    <w:rPr>
      <w:rFonts w:ascii="黑体" w:hAnsi="黑体" w:eastAsia="黑体" w:cs="黑体"/>
      <w:sz w:val="32"/>
      <w:szCs w:val="24"/>
    </w:rPr>
  </w:style>
  <w:style w:type="paragraph" w:styleId="5">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_Style 1"/>
    <w:basedOn w:val="1"/>
    <w:qFormat/>
    <w:uiPriority w:val="34"/>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2543</Words>
  <Characters>2638</Characters>
  <Lines>0</Lines>
  <Paragraphs>0</Paragraphs>
  <TotalTime>22</TotalTime>
  <ScaleCrop>false</ScaleCrop>
  <LinksUpToDate>false</LinksUpToDate>
  <CharactersWithSpaces>2640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2024-04-07T06:27:00Z</dcterms:created>
  <dc:creator>Administrator</dc:creator>
  <cp:lastModifiedBy>user</cp:lastModifiedBy>
  <dcterms:modified xsi:type="dcterms:W3CDTF">2024-06-07T01:54:10Z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3172600907E84CC5A56D4F80B50908F9_13</vt:lpwstr>
  </property>
</Properties>
</file>