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20" w:lineRule="exact"/>
        <w:rPr>
          <w:rFonts w:hint="eastAsia" w:ascii="黑体" w:hAnsi="黑体" w:eastAsia="黑体" w:cs="黑体"/>
          <w:bCs/>
          <w:szCs w:val="24"/>
          <w:lang w:val="en-US" w:eastAsia="zh-CN"/>
        </w:rPr>
      </w:pPr>
      <w:r>
        <w:rPr>
          <w:rFonts w:hint="eastAsia" w:ascii="黑体" w:hAnsi="黑体" w:eastAsia="黑体" w:cs="黑体"/>
          <w:bCs/>
          <w:szCs w:val="24"/>
        </w:rPr>
        <w:t>附件</w:t>
      </w:r>
      <w:r>
        <w:rPr>
          <w:rFonts w:hint="eastAsia" w:ascii="黑体" w:hAnsi="黑体" w:eastAsia="黑体" w:cs="黑体"/>
          <w:bCs/>
          <w:szCs w:val="24"/>
          <w:lang w:val="en-US" w:eastAsia="zh-CN"/>
        </w:rPr>
        <w:t>2</w:t>
      </w:r>
    </w:p>
    <w:p/>
    <w:p>
      <w:pPr>
        <w:pStyle w:val="4"/>
        <w:jc w:val="center"/>
        <w:rPr>
          <w:rFonts w:ascii="黑体" w:hAnsi="黑体" w:eastAsia="黑体" w:cs="宋体"/>
          <w:sz w:val="36"/>
          <w:szCs w:val="36"/>
        </w:rPr>
      </w:pPr>
      <w:r>
        <w:rPr>
          <w:rFonts w:hint="eastAsia" w:ascii="黑体" w:hAnsi="黑体" w:eastAsia="黑体" w:cs="宋体"/>
          <w:sz w:val="36"/>
          <w:szCs w:val="36"/>
        </w:rPr>
        <w:t>魏桥创</w:t>
      </w:r>
      <w:r>
        <w:rPr>
          <w:rFonts w:hint="eastAsia" w:ascii="黑体" w:hAnsi="黑体" w:eastAsia="黑体" w:cs="___WRD_EMBED_SUB_44"/>
          <w:sz w:val="36"/>
          <w:szCs w:val="36"/>
        </w:rPr>
        <w:t>业</w:t>
      </w:r>
      <w:r>
        <w:rPr>
          <w:rFonts w:hint="eastAsia" w:ascii="黑体" w:hAnsi="黑体" w:eastAsia="黑体"/>
          <w:sz w:val="36"/>
          <w:szCs w:val="36"/>
        </w:rPr>
        <w:t>集</w:t>
      </w:r>
      <w:r>
        <w:rPr>
          <w:rFonts w:hint="eastAsia" w:ascii="黑体" w:hAnsi="黑体" w:eastAsia="黑体" w:cs="宋体"/>
          <w:sz w:val="36"/>
          <w:szCs w:val="36"/>
        </w:rPr>
        <w:t>团智慧</w:t>
      </w:r>
      <w:r>
        <w:rPr>
          <w:rFonts w:hint="eastAsia" w:ascii="黑体" w:hAnsi="黑体" w:eastAsia="黑体"/>
          <w:sz w:val="36"/>
          <w:szCs w:val="36"/>
        </w:rPr>
        <w:t>环境</w:t>
      </w:r>
      <w:r>
        <w:rPr>
          <w:rFonts w:hint="eastAsia" w:ascii="黑体" w:hAnsi="黑体" w:eastAsia="黑体" w:cs="宋体"/>
          <w:sz w:val="36"/>
          <w:szCs w:val="36"/>
        </w:rPr>
        <w:t>管理服务项目——重点厂区环境空气质量数据采集和分析服务项目</w:t>
      </w:r>
    </w:p>
    <w:p>
      <w:pPr>
        <w:pStyle w:val="4"/>
        <w:jc w:val="center"/>
        <w:rPr>
          <w:rFonts w:ascii="黑体" w:hAnsi="黑体" w:eastAsia="黑体"/>
          <w:sz w:val="36"/>
          <w:szCs w:val="36"/>
        </w:rPr>
      </w:pPr>
      <w:r>
        <w:rPr>
          <w:rFonts w:hint="eastAsia" w:ascii="黑体" w:hAnsi="黑体" w:eastAsia="黑体" w:cs="宋体"/>
          <w:sz w:val="36"/>
          <w:szCs w:val="36"/>
        </w:rPr>
        <w:t>公开</w:t>
      </w:r>
      <w:r>
        <w:rPr>
          <w:rFonts w:hint="eastAsia" w:ascii="黑体" w:hAnsi="黑体" w:eastAsia="黑体"/>
          <w:sz w:val="36"/>
          <w:szCs w:val="36"/>
        </w:rPr>
        <w:t>征集承担单位申报指南</w:t>
      </w:r>
    </w:p>
    <w:p>
      <w:pPr>
        <w:pStyle w:val="11"/>
        <w:spacing w:line="620" w:lineRule="exact"/>
        <w:ind w:firstLine="640"/>
        <w:rPr>
          <w:rFonts w:ascii="黑体" w:hAnsi="黑体" w:eastAsia="黑体"/>
          <w:sz w:val="32"/>
          <w:szCs w:val="32"/>
        </w:rPr>
      </w:pPr>
      <w:r>
        <w:rPr>
          <w:rFonts w:hint="eastAsia" w:ascii="黑体" w:hAnsi="黑体" w:eastAsia="黑体"/>
          <w:sz w:val="32"/>
          <w:szCs w:val="32"/>
        </w:rPr>
        <w:t>一、课题背景</w:t>
      </w:r>
    </w:p>
    <w:p>
      <w:pPr>
        <w:spacing w:line="6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为深入落实《中共中央 国务院关于深入打好污染防治攻坚战的意见》，进一步夯实企业生态环境保护主体责任，提升魏桥创业集团环境管理能力，生态环境部环境工程评估中心承担了魏桥创业集团智慧环境管理服务项目的建设研究工作。</w:t>
      </w:r>
    </w:p>
    <w:p>
      <w:pPr>
        <w:spacing w:line="620" w:lineRule="exact"/>
        <w:ind w:firstLine="640" w:firstLineChars="200"/>
        <w:rPr>
          <w:rFonts w:ascii="仿宋_GB2312" w:hAnsi="仿宋_GB2312" w:eastAsia="仿宋_GB2312" w:cs="仿宋_GB2312"/>
          <w:sz w:val="32"/>
          <w:szCs w:val="32"/>
        </w:rPr>
      </w:pPr>
      <w:r>
        <w:rPr>
          <w:rFonts w:hint="eastAsia" w:ascii="仿宋_GB2312" w:hAnsi="仿宋" w:eastAsia="仿宋_GB2312" w:cs="仿宋_GB2312"/>
          <w:sz w:val="32"/>
          <w:szCs w:val="32"/>
        </w:rPr>
        <w:t>现就其中的</w:t>
      </w:r>
      <w:r>
        <w:rPr>
          <w:rFonts w:hint="eastAsia" w:ascii="仿宋_GB2312" w:hAnsi="仿宋_GB2312" w:eastAsia="仿宋_GB2312" w:cs="仿宋_GB2312"/>
          <w:sz w:val="32"/>
          <w:szCs w:val="32"/>
        </w:rPr>
        <w:t>《魏桥创业集团智慧环境管理服务项目--重点厂区环境空气质量数据采集和分析服务项目》</w:t>
      </w:r>
      <w:r>
        <w:rPr>
          <w:rFonts w:hint="eastAsia" w:ascii="仿宋_GB2312" w:hAnsi="仿宋" w:eastAsia="仿宋_GB2312" w:cs="仿宋_GB2312"/>
          <w:sz w:val="32"/>
          <w:szCs w:val="32"/>
        </w:rPr>
        <w:t>面向全社会公开征集承担单位</w:t>
      </w:r>
      <w:r>
        <w:rPr>
          <w:rFonts w:hint="eastAsia" w:ascii="仿宋_GB2312" w:hAnsi="仿宋_GB2312" w:eastAsia="仿宋_GB2312" w:cs="仿宋_GB2312"/>
          <w:sz w:val="32"/>
          <w:szCs w:val="32"/>
        </w:rPr>
        <w:t>。</w:t>
      </w:r>
    </w:p>
    <w:p>
      <w:pPr>
        <w:pStyle w:val="11"/>
        <w:spacing w:line="620" w:lineRule="exact"/>
        <w:ind w:firstLine="640"/>
        <w:rPr>
          <w:rFonts w:ascii="仿宋_GB2312" w:hAnsi="仿宋" w:eastAsia="黑体"/>
          <w:sz w:val="32"/>
          <w:szCs w:val="32"/>
        </w:rPr>
      </w:pPr>
      <w:r>
        <w:rPr>
          <w:rFonts w:hint="eastAsia" w:ascii="黑体" w:hAnsi="黑体" w:eastAsia="黑体"/>
          <w:sz w:val="32"/>
          <w:szCs w:val="32"/>
        </w:rPr>
        <w:t>二、项目内容及要求</w:t>
      </w:r>
    </w:p>
    <w:p>
      <w:pPr>
        <w:pStyle w:val="12"/>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工作内容</w:t>
      </w:r>
    </w:p>
    <w:p>
      <w:pPr>
        <w:spacing w:line="62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承担单位应按照统一规划，重点区域全覆盖的原则，制定科学可行的</w:t>
      </w:r>
      <w:r>
        <w:rPr>
          <w:rFonts w:hint="eastAsia" w:ascii="仿宋_GB2312" w:hAnsi="仿宋_GB2312" w:eastAsia="仿宋_GB2312" w:cs="仿宋_GB2312"/>
          <w:sz w:val="32"/>
          <w:szCs w:val="32"/>
        </w:rPr>
        <w:t>环境空气质量数据采集和分析服务</w:t>
      </w:r>
      <w:r>
        <w:rPr>
          <w:rFonts w:hint="eastAsia" w:ascii="仿宋_GB2312" w:hAnsi="仿宋" w:eastAsia="仿宋_GB2312" w:cs="仿宋_GB2312"/>
          <w:sz w:val="32"/>
          <w:szCs w:val="32"/>
        </w:rPr>
        <w:t>技术实施方案，并</w:t>
      </w:r>
      <w:r>
        <w:rPr>
          <w:rFonts w:hint="eastAsia" w:ascii="仿宋_GB2312" w:hAnsi="仿宋" w:eastAsia="仿宋_GB2312" w:cs="仿宋_GB2312"/>
          <w:sz w:val="32"/>
          <w:szCs w:val="32"/>
          <w:lang w:val="en-US" w:eastAsia="zh-CN"/>
        </w:rPr>
        <w:t>提供</w:t>
      </w:r>
      <w:r>
        <w:rPr>
          <w:rFonts w:hint="eastAsia" w:ascii="仿宋_GB2312" w:hAnsi="仿宋" w:eastAsia="仿宋_GB2312" w:cs="仿宋_GB2312"/>
          <w:sz w:val="32"/>
          <w:szCs w:val="32"/>
        </w:rPr>
        <w:t>15个监测点位连续</w:t>
      </w:r>
      <w:r>
        <w:rPr>
          <w:rFonts w:hint="eastAsia" w:ascii="仿宋_GB2312" w:hAnsi="仿宋_GB2312" w:eastAsia="仿宋_GB2312" w:cs="仿宋_GB2312"/>
          <w:sz w:val="32"/>
          <w:szCs w:val="32"/>
        </w:rPr>
        <w:t>环境空气质量数据采集和分析服务</w:t>
      </w:r>
      <w:r>
        <w:rPr>
          <w:rFonts w:hint="eastAsia" w:ascii="仿宋_GB2312" w:hAnsi="仿宋" w:eastAsia="仿宋_GB2312" w:cs="仿宋_GB2312"/>
          <w:sz w:val="32"/>
          <w:szCs w:val="32"/>
        </w:rPr>
        <w:t>。</w:t>
      </w:r>
    </w:p>
    <w:p>
      <w:pPr>
        <w:pStyle w:val="12"/>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考核要求</w:t>
      </w:r>
      <w:bookmarkStart w:id="0" w:name="_GoBack"/>
      <w:bookmarkEnd w:id="0"/>
    </w:p>
    <w:p>
      <w:pPr>
        <w:pStyle w:val="11"/>
        <w:numPr>
          <w:ilvl w:val="255"/>
          <w:numId w:val="0"/>
        </w:numPr>
        <w:spacing w:line="620" w:lineRule="exact"/>
        <w:ind w:firstLine="640"/>
        <w:rPr>
          <w:rFonts w:ascii="仿宋_GB2312" w:hAnsi="仿宋_GB2312" w:cs="仿宋_GB2312"/>
          <w:sz w:val="32"/>
          <w:szCs w:val="32"/>
        </w:rPr>
      </w:pPr>
      <w:r>
        <w:rPr>
          <w:rFonts w:hint="eastAsia" w:ascii="仿宋_GB2312" w:hAnsi="仿宋_GB2312" w:cs="仿宋_GB2312"/>
          <w:sz w:val="32"/>
          <w:szCs w:val="32"/>
        </w:rPr>
        <w:t>1.编制《魏桥创业集团智慧环境管理服务项目--重点厂区环境空气质量数据采集和分析服务项目》技术实施方案，指导后续实施部署工作。</w:t>
      </w:r>
    </w:p>
    <w:p>
      <w:pPr>
        <w:pStyle w:val="11"/>
        <w:numPr>
          <w:ilvl w:val="255"/>
          <w:numId w:val="0"/>
        </w:numPr>
        <w:spacing w:line="620" w:lineRule="exact"/>
        <w:ind w:firstLine="640"/>
        <w:rPr>
          <w:rFonts w:ascii="仿宋_GB2312" w:hAnsi="仿宋_GB2312" w:cs="仿宋_GB2312"/>
          <w:sz w:val="32"/>
          <w:szCs w:val="32"/>
        </w:rPr>
      </w:pPr>
      <w:r>
        <w:rPr>
          <w:rFonts w:hint="eastAsia" w:ascii="仿宋_GB2312" w:hAnsi="仿宋_GB2312" w:cs="仿宋_GB2312"/>
          <w:sz w:val="32"/>
          <w:szCs w:val="32"/>
        </w:rPr>
        <w:t>2.</w:t>
      </w:r>
      <w:r>
        <w:rPr>
          <w:rFonts w:hint="eastAsia" w:ascii="仿宋_GB2312" w:hAnsi="仿宋_GB2312" w:cs="仿宋_GB2312"/>
          <w:sz w:val="32"/>
          <w:szCs w:val="32"/>
          <w:lang w:val="en-US" w:eastAsia="zh-CN"/>
        </w:rPr>
        <w:t>提供</w:t>
      </w:r>
      <w:r>
        <w:rPr>
          <w:rFonts w:hint="eastAsia" w:ascii="仿宋_GB2312" w:hAnsi="仿宋" w:cs="仿宋_GB2312"/>
          <w:sz w:val="32"/>
          <w:szCs w:val="32"/>
        </w:rPr>
        <w:t>15个监测点位连续</w:t>
      </w:r>
      <w:r>
        <w:rPr>
          <w:rFonts w:hint="eastAsia" w:ascii="仿宋_GB2312" w:hAnsi="仿宋_GB2312" w:cs="仿宋_GB2312"/>
          <w:sz w:val="32"/>
          <w:szCs w:val="32"/>
        </w:rPr>
        <w:t>环境空气质量</w:t>
      </w:r>
      <w:r>
        <w:rPr>
          <w:rFonts w:hint="eastAsia" w:ascii="仿宋_GB2312" w:hAnsi="仿宋_GB2312" w:eastAsia="仿宋_GB2312" w:cs="仿宋_GB2312"/>
          <w:sz w:val="32"/>
          <w:szCs w:val="32"/>
        </w:rPr>
        <w:t>数据采集和分析服务</w:t>
      </w:r>
    </w:p>
    <w:p>
      <w:pPr>
        <w:spacing w:line="6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环境空气质量</w:t>
      </w:r>
      <w:r>
        <w:rPr>
          <w:rFonts w:hint="eastAsia" w:ascii="仿宋_GB2312" w:hAnsi="仿宋" w:eastAsia="仿宋_GB2312" w:cs="仿宋_GB2312"/>
          <w:sz w:val="32"/>
          <w:szCs w:val="32"/>
          <w:lang w:val="en-US" w:eastAsia="zh-CN"/>
        </w:rPr>
        <w:t>数据采集和分析</w:t>
      </w:r>
      <w:r>
        <w:rPr>
          <w:rFonts w:hint="eastAsia" w:ascii="仿宋_GB2312" w:hAnsi="仿宋" w:eastAsia="仿宋_GB2312" w:cs="仿宋_GB2312"/>
          <w:sz w:val="32"/>
          <w:szCs w:val="32"/>
        </w:rPr>
        <w:t>技术指标要求详见附件</w:t>
      </w:r>
      <w:r>
        <w:rPr>
          <w:rFonts w:hint="eastAsia" w:ascii="仿宋_GB2312" w:hAnsi="仿宋" w:eastAsia="仿宋_GB2312" w:cs="仿宋_GB2312"/>
          <w:sz w:val="32"/>
          <w:szCs w:val="32"/>
          <w:lang w:eastAsia="zh-CN"/>
        </w:rPr>
        <w:t>。</w:t>
      </w:r>
    </w:p>
    <w:p>
      <w:pPr>
        <w:pStyle w:val="11"/>
        <w:numPr>
          <w:ilvl w:val="255"/>
          <w:numId w:val="0"/>
        </w:numPr>
        <w:spacing w:line="620" w:lineRule="exact"/>
        <w:ind w:firstLine="64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rPr>
        <w:t>3.</w:t>
      </w:r>
      <w:r>
        <w:rPr>
          <w:rFonts w:hint="eastAsia" w:ascii="仿宋_GB2312" w:hAnsi="仿宋_GB2312" w:cs="仿宋_GB2312"/>
          <w:sz w:val="32"/>
          <w:szCs w:val="32"/>
          <w:lang w:val="en-US" w:eastAsia="zh-CN"/>
        </w:rPr>
        <w:t>提供</w:t>
      </w:r>
      <w:r>
        <w:rPr>
          <w:rFonts w:hint="eastAsia" w:ascii="仿宋_GB2312" w:hAnsi="仿宋" w:cs="仿宋_GB2312"/>
          <w:sz w:val="32"/>
          <w:szCs w:val="32"/>
        </w:rPr>
        <w:t>15个监测点</w:t>
      </w:r>
      <w:r>
        <w:rPr>
          <w:rFonts w:hint="eastAsia" w:ascii="仿宋_GB2312" w:hAnsi="仿宋" w:cs="仿宋_GB2312"/>
          <w:sz w:val="32"/>
          <w:szCs w:val="32"/>
          <w:lang w:val="en-US" w:eastAsia="zh-CN"/>
        </w:rPr>
        <w:t>位</w:t>
      </w:r>
      <w:r>
        <w:rPr>
          <w:rFonts w:hint="eastAsia" w:ascii="仿宋_GB2312" w:hAnsi="仿宋_GB2312" w:cs="仿宋_GB2312"/>
          <w:sz w:val="32"/>
          <w:szCs w:val="32"/>
        </w:rPr>
        <w:t>环境空气质量</w:t>
      </w:r>
      <w:r>
        <w:rPr>
          <w:rFonts w:hint="eastAsia" w:ascii="仿宋_GB2312" w:hAnsi="仿宋_GB2312" w:cs="仿宋_GB2312"/>
          <w:sz w:val="32"/>
          <w:szCs w:val="32"/>
          <w:lang w:val="en-US" w:eastAsia="zh-CN"/>
        </w:rPr>
        <w:t>数据</w:t>
      </w:r>
      <w:r>
        <w:rPr>
          <w:rFonts w:hint="eastAsia" w:ascii="仿宋_GB2312" w:hAnsi="仿宋_GB2312" w:cs="仿宋_GB2312"/>
          <w:sz w:val="32"/>
          <w:szCs w:val="32"/>
        </w:rPr>
        <w:t>接入</w:t>
      </w:r>
      <w:r>
        <w:rPr>
          <w:rFonts w:hint="eastAsia" w:ascii="仿宋_GB2312" w:hAnsi="仿宋_GB2312" w:cs="仿宋_GB2312"/>
          <w:sz w:val="32"/>
          <w:szCs w:val="32"/>
          <w:lang w:val="en-US" w:eastAsia="zh-CN"/>
        </w:rPr>
        <w:t>服务</w:t>
      </w:r>
    </w:p>
    <w:p>
      <w:pPr>
        <w:pStyle w:val="11"/>
        <w:numPr>
          <w:ilvl w:val="255"/>
          <w:numId w:val="0"/>
        </w:numPr>
        <w:spacing w:line="620" w:lineRule="exact"/>
        <w:ind w:firstLine="640"/>
        <w:rPr>
          <w:rFonts w:ascii="仿宋_GB2312" w:hAnsi="仿宋_GB2312" w:cs="仿宋_GB2312"/>
          <w:sz w:val="32"/>
          <w:szCs w:val="32"/>
        </w:rPr>
      </w:pPr>
      <w:r>
        <w:rPr>
          <w:rFonts w:hint="eastAsia" w:ascii="仿宋_GB2312" w:hAnsi="仿宋_GB2312" w:cs="仿宋_GB2312"/>
          <w:sz w:val="32"/>
          <w:szCs w:val="32"/>
        </w:rPr>
        <w:t xml:space="preserve"> 提供数据和数据接口服务，并保证空气质量监测数据顺利接入魏桥智慧环境管理平台。</w:t>
      </w:r>
    </w:p>
    <w:p>
      <w:pPr>
        <w:pStyle w:val="11"/>
        <w:spacing w:line="620" w:lineRule="exact"/>
        <w:ind w:firstLine="640"/>
        <w:rPr>
          <w:rFonts w:ascii="黑体" w:hAnsi="黑体" w:eastAsia="黑体"/>
          <w:sz w:val="32"/>
          <w:szCs w:val="32"/>
        </w:rPr>
      </w:pPr>
      <w:r>
        <w:rPr>
          <w:rFonts w:hint="eastAsia" w:ascii="黑体" w:hAnsi="黑体" w:eastAsia="黑体"/>
          <w:sz w:val="32"/>
          <w:szCs w:val="32"/>
        </w:rPr>
        <w:t>三、进度要求</w:t>
      </w:r>
    </w:p>
    <w:p>
      <w:pPr>
        <w:pStyle w:val="11"/>
        <w:numPr>
          <w:ilvl w:val="255"/>
          <w:numId w:val="0"/>
        </w:numPr>
        <w:spacing w:line="620" w:lineRule="exact"/>
        <w:ind w:firstLine="640"/>
        <w:rPr>
          <w:rFonts w:ascii="仿宋_GB2312" w:hAnsi="仿宋_GB2312" w:cs="仿宋_GB2312"/>
          <w:sz w:val="32"/>
          <w:szCs w:val="32"/>
        </w:rPr>
      </w:pPr>
      <w:r>
        <w:rPr>
          <w:rFonts w:hint="eastAsia" w:ascii="仿宋_GB2312" w:hAnsi="仿宋_GB2312" w:cs="仿宋_GB2312"/>
          <w:color w:val="auto"/>
          <w:sz w:val="32"/>
          <w:szCs w:val="32"/>
        </w:rPr>
        <w:t>2022年11月初</w:t>
      </w:r>
      <w:r>
        <w:rPr>
          <w:rFonts w:hint="eastAsia" w:ascii="仿宋_GB2312" w:hAnsi="仿宋_GB2312" w:cs="仿宋_GB2312"/>
          <w:sz w:val="32"/>
          <w:szCs w:val="32"/>
        </w:rPr>
        <w:t>完成《魏桥创业集团智慧环境管理服务项目--重点厂区环境空气质量数据采集和分析服务项目》技术实施方案；</w:t>
      </w:r>
    </w:p>
    <w:p>
      <w:pPr>
        <w:pStyle w:val="11"/>
        <w:numPr>
          <w:ilvl w:val="255"/>
          <w:numId w:val="0"/>
        </w:numPr>
        <w:spacing w:line="620" w:lineRule="exact"/>
        <w:ind w:firstLine="640"/>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rPr>
        <w:t>2022年11月底前</w:t>
      </w:r>
      <w:r>
        <w:rPr>
          <w:rFonts w:hint="eastAsia" w:ascii="仿宋_GB2312" w:hAnsi="仿宋_GB2312" w:cs="仿宋_GB2312"/>
          <w:sz w:val="32"/>
          <w:szCs w:val="32"/>
          <w:lang w:val="en-US" w:eastAsia="zh-CN"/>
        </w:rPr>
        <w:t>提供15个监测点位</w:t>
      </w:r>
      <w:r>
        <w:rPr>
          <w:rFonts w:hint="eastAsia" w:ascii="仿宋_GB2312" w:hAnsi="仿宋" w:eastAsia="仿宋_GB2312" w:cs="仿宋_GB2312"/>
          <w:sz w:val="32"/>
          <w:szCs w:val="32"/>
        </w:rPr>
        <w:t>环境空气质量</w:t>
      </w:r>
      <w:r>
        <w:rPr>
          <w:rFonts w:hint="eastAsia" w:ascii="仿宋_GB2312" w:hAnsi="仿宋" w:eastAsia="仿宋_GB2312" w:cs="仿宋_GB2312"/>
          <w:sz w:val="32"/>
          <w:szCs w:val="32"/>
          <w:lang w:val="en-US" w:eastAsia="zh-CN"/>
        </w:rPr>
        <w:t>数据采集和分析</w:t>
      </w:r>
      <w:r>
        <w:rPr>
          <w:rFonts w:hint="eastAsia" w:ascii="仿宋_GB2312" w:hAnsi="仿宋" w:cs="仿宋_GB2312"/>
          <w:sz w:val="32"/>
          <w:szCs w:val="32"/>
          <w:lang w:val="en-US" w:eastAsia="zh-CN"/>
        </w:rPr>
        <w:t>服务。</w:t>
      </w:r>
    </w:p>
    <w:p>
      <w:pPr>
        <w:pStyle w:val="11"/>
        <w:numPr>
          <w:ilvl w:val="255"/>
          <w:numId w:val="0"/>
        </w:numPr>
        <w:spacing w:line="620" w:lineRule="exact"/>
        <w:ind w:firstLine="640"/>
        <w:rPr>
          <w:rFonts w:ascii="仿宋_GB2312" w:hAnsi="仿宋_GB2312"/>
          <w:sz w:val="32"/>
          <w:szCs w:val="32"/>
        </w:rPr>
      </w:pPr>
      <w:r>
        <w:rPr>
          <w:rFonts w:hint="eastAsia" w:ascii="黑体" w:hAnsi="黑体" w:eastAsia="黑体"/>
          <w:sz w:val="32"/>
          <w:szCs w:val="32"/>
        </w:rPr>
        <w:t>四、拟支持经费</w:t>
      </w:r>
    </w:p>
    <w:p>
      <w:pPr>
        <w:pStyle w:val="11"/>
        <w:spacing w:line="620" w:lineRule="exact"/>
        <w:ind w:firstLine="640"/>
        <w:rPr>
          <w:rFonts w:ascii="仿宋_GB2312" w:hAnsi="仿宋_GB2312" w:cs="仿宋_GB2312"/>
          <w:color w:val="auto"/>
          <w:sz w:val="32"/>
          <w:szCs w:val="32"/>
        </w:rPr>
      </w:pPr>
      <w:r>
        <w:rPr>
          <w:rFonts w:hint="eastAsia" w:ascii="仿宋_GB2312" w:hAnsi="仿宋_GB2312" w:cs="仿宋_GB2312"/>
          <w:bCs/>
          <w:color w:val="auto"/>
          <w:sz w:val="32"/>
          <w:szCs w:val="32"/>
        </w:rPr>
        <w:t>80万元。</w:t>
      </w:r>
    </w:p>
    <w:p>
      <w:pPr>
        <w:pStyle w:val="11"/>
        <w:spacing w:line="620" w:lineRule="exact"/>
        <w:ind w:firstLine="640"/>
        <w:rPr>
          <w:rFonts w:ascii="仿宋_GB2312" w:hAnsi="仿宋_GB2312"/>
          <w:sz w:val="32"/>
          <w:szCs w:val="32"/>
        </w:rPr>
      </w:pPr>
      <w:r>
        <w:rPr>
          <w:rFonts w:hint="eastAsia" w:ascii="黑体" w:hAnsi="黑体" w:eastAsia="黑体"/>
          <w:sz w:val="32"/>
          <w:szCs w:val="32"/>
        </w:rPr>
        <w:t xml:space="preserve">五、申报条件 </w:t>
      </w:r>
    </w:p>
    <w:p>
      <w:pPr>
        <w:pStyle w:val="11"/>
        <w:spacing w:line="620" w:lineRule="exact"/>
        <w:ind w:firstLine="640"/>
        <w:rPr>
          <w:rFonts w:ascii="仿宋_GB2312" w:hAnsi="仿宋_GB2312"/>
          <w:sz w:val="32"/>
          <w:szCs w:val="32"/>
        </w:rPr>
      </w:pPr>
      <w:r>
        <w:rPr>
          <w:rFonts w:hint="eastAsia" w:ascii="仿宋_GB2312" w:hAnsi="仿宋_GB2312"/>
          <w:sz w:val="32"/>
          <w:szCs w:val="32"/>
        </w:rPr>
        <w:t>（一）在中华人民共和国境内注册具有独立法人资格的企事业单位均可申报；</w:t>
      </w:r>
    </w:p>
    <w:p>
      <w:pPr>
        <w:pStyle w:val="11"/>
        <w:spacing w:line="620" w:lineRule="exact"/>
        <w:ind w:firstLine="640"/>
        <w:rPr>
          <w:rFonts w:ascii="仿宋_GB2312" w:hAnsi="仿宋_GB2312" w:cs="仿宋_GB2312"/>
          <w:bCs/>
          <w:sz w:val="32"/>
          <w:szCs w:val="32"/>
        </w:rPr>
      </w:pPr>
      <w:r>
        <w:rPr>
          <w:rFonts w:hint="eastAsia" w:ascii="仿宋_GB2312" w:hAnsi="仿宋_GB2312" w:cs="仿宋_GB2312"/>
          <w:bCs/>
          <w:sz w:val="32"/>
          <w:szCs w:val="32"/>
        </w:rPr>
        <w:t>（二）申报单位应具有良好的信誉和健全的财务会计制度；</w:t>
      </w:r>
    </w:p>
    <w:p>
      <w:pPr>
        <w:pStyle w:val="11"/>
        <w:spacing w:line="620" w:lineRule="exact"/>
        <w:ind w:firstLine="640"/>
        <w:rPr>
          <w:rFonts w:ascii="仿宋_GB2312" w:hAnsi="仿宋_GB2312" w:cs="仿宋_GB2312"/>
          <w:bCs/>
          <w:sz w:val="32"/>
          <w:szCs w:val="32"/>
        </w:rPr>
      </w:pPr>
      <w:r>
        <w:rPr>
          <w:rFonts w:hint="eastAsia" w:ascii="仿宋_GB2312" w:hAnsi="仿宋_GB2312" w:cs="仿宋_GB2312"/>
          <w:bCs/>
          <w:sz w:val="32"/>
          <w:szCs w:val="32"/>
        </w:rPr>
        <w:t>（三）有依法缴纳税收良好记录，申报前三年内，在经营活动中没有重大违法记录（提供</w:t>
      </w:r>
      <w:r>
        <w:rPr>
          <w:rFonts w:ascii="仿宋_GB2312" w:hAnsi="仿宋_GB2312" w:cs="仿宋_GB2312"/>
          <w:bCs/>
          <w:sz w:val="32"/>
          <w:szCs w:val="32"/>
        </w:rPr>
        <w:t>202</w:t>
      </w:r>
      <w:r>
        <w:rPr>
          <w:rFonts w:hint="eastAsia" w:ascii="仿宋_GB2312" w:hAnsi="仿宋_GB2312" w:cs="仿宋_GB2312"/>
          <w:bCs/>
          <w:sz w:val="32"/>
          <w:szCs w:val="32"/>
        </w:rPr>
        <w:t>1年任意六个月税收证明、三年内无重大违法记录声明）；</w:t>
      </w:r>
    </w:p>
    <w:p>
      <w:pPr>
        <w:spacing w:line="620" w:lineRule="exact"/>
        <w:ind w:firstLine="640" w:firstLineChars="200"/>
        <w:rPr>
          <w:rFonts w:eastAsia="仿宋_GB2312" w:cs="仿宋_GB2312"/>
          <w:sz w:val="32"/>
          <w:szCs w:val="32"/>
        </w:rPr>
      </w:pPr>
      <w:r>
        <w:rPr>
          <w:rFonts w:hint="eastAsia" w:eastAsia="仿宋_GB2312" w:cs="仿宋_GB2312"/>
          <w:sz w:val="32"/>
          <w:szCs w:val="32"/>
        </w:rPr>
        <w:t>（四）本次公开征集不接受个人申请。</w:t>
      </w:r>
    </w:p>
    <w:p>
      <w:pPr>
        <w:pStyle w:val="11"/>
        <w:spacing w:line="620" w:lineRule="exact"/>
        <w:ind w:firstLine="640"/>
        <w:rPr>
          <w:rFonts w:ascii="仿宋_GB2312" w:hAnsi="仿宋_GB2312"/>
          <w:sz w:val="32"/>
          <w:szCs w:val="32"/>
        </w:rPr>
      </w:pPr>
      <w:r>
        <w:rPr>
          <w:rFonts w:hint="eastAsia" w:ascii="黑体" w:hAnsi="黑体" w:eastAsia="黑体"/>
          <w:sz w:val="32"/>
          <w:szCs w:val="32"/>
        </w:rPr>
        <w:t xml:space="preserve">六、申请受理 </w:t>
      </w:r>
    </w:p>
    <w:p>
      <w:pPr>
        <w:pStyle w:val="11"/>
        <w:spacing w:line="620" w:lineRule="exact"/>
        <w:ind w:firstLine="640"/>
        <w:rPr>
          <w:rFonts w:ascii="仿宋_GB2312" w:hAnsi="仿宋_GB2312" w:cs="仿宋_GB2312"/>
          <w:sz w:val="32"/>
          <w:szCs w:val="32"/>
        </w:rPr>
      </w:pPr>
      <w:r>
        <w:rPr>
          <w:rFonts w:hint="eastAsia" w:ascii="仿宋_GB2312" w:hAnsi="仿宋_GB2312" w:cs="仿宋_GB2312"/>
          <w:sz w:val="32"/>
          <w:szCs w:val="32"/>
        </w:rPr>
        <w:t>公开征集工作自本公告公布之日起开始，参加单位可登录环境影响评价网（网址http://www.china-eia.com），下载相关材料。</w:t>
      </w:r>
    </w:p>
    <w:p>
      <w:pPr>
        <w:pStyle w:val="11"/>
        <w:spacing w:line="620" w:lineRule="exact"/>
        <w:ind w:firstLine="419" w:firstLineChars="131"/>
        <w:outlineLvl w:val="0"/>
        <w:rPr>
          <w:rFonts w:ascii="仿宋_GB2312" w:hAnsi="仿宋_GB2312" w:cs="仿宋_GB2312"/>
          <w:sz w:val="32"/>
          <w:szCs w:val="32"/>
        </w:rPr>
      </w:pPr>
      <w:r>
        <w:rPr>
          <w:rFonts w:hint="eastAsia" w:ascii="仿宋_GB2312" w:hAnsi="仿宋_GB2312" w:cs="仿宋_GB2312"/>
          <w:sz w:val="32"/>
          <w:szCs w:val="32"/>
        </w:rPr>
        <w:t>（一）申报文件</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申请文件由申请函、项目申报书及其它支撑性材料构成（如资质证书、相关成果、获奖情况等）。</w:t>
      </w:r>
    </w:p>
    <w:p>
      <w:pPr>
        <w:pStyle w:val="11"/>
        <w:spacing w:line="620" w:lineRule="exact"/>
        <w:ind w:firstLine="419" w:firstLineChars="131"/>
        <w:outlineLvl w:val="0"/>
        <w:rPr>
          <w:rFonts w:ascii="仿宋_GB2312" w:hAnsi="仿宋_GB2312" w:cs="仿宋_GB2312"/>
          <w:sz w:val="32"/>
          <w:szCs w:val="32"/>
        </w:rPr>
      </w:pPr>
      <w:r>
        <w:rPr>
          <w:rFonts w:hint="eastAsia" w:ascii="仿宋_GB2312" w:hAnsi="仿宋_GB2312" w:cs="仿宋_GB2312"/>
          <w:sz w:val="32"/>
          <w:szCs w:val="32"/>
        </w:rPr>
        <w:t>（二）申报文件的格式</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1.申报文件正文为4号宋体字，1.5倍行距，不得行间插字、涂改或增删。</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2.申报文件外形尺寸应统一为A4纸规格，采用双面印刷，普通纸质材料作为封面，侧面装订，不采用胶圈、文件夹等带有突出棱边的装订方式。</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3.申报文件因字迹潦草或表达不清而造成的不良后果，由项目申报单位自负。</w:t>
      </w:r>
    </w:p>
    <w:p>
      <w:pPr>
        <w:spacing w:line="620" w:lineRule="exact"/>
        <w:ind w:firstLine="6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（三）申报须知</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1.申报单位应准备申报文件正本1份，副本4份，电子文档1份（word 格式，发送到联系人邮箱）。如果申报电子文档与文字文件不符，以文字文件为准。</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2.申报单位应根据申报文件的要求，在申报文件适当的位置填写项目申报单位全称、加盖项目申报单位印章、签署法定代表人的全名。</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3.申报文件的正本必须用不褪色的墨水笔填写或打印，注明“正本”字样。</w:t>
      </w:r>
    </w:p>
    <w:p>
      <w:pPr>
        <w:spacing w:line="620" w:lineRule="exact"/>
        <w:ind w:firstLine="6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（四）申报文件的密封和标记</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1.项目申报单位应将申报文件正本和副本分别装入信封后密封，并在信封上标明项目名称、项目申报单位名称和地址，及“正本”或“副本”，封口处加盖项目申报单位印章。</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2.每一密封信封上注明“在评估日期及时间之前不准启封”的字样。</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3. 如果未按上述规定密封和标记，评估中心对申报文件的误投或提前拆封不负责任。</w:t>
      </w:r>
    </w:p>
    <w:p>
      <w:pPr>
        <w:spacing w:line="620" w:lineRule="exact"/>
        <w:ind w:firstLine="6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（五）申报文件的递交</w:t>
      </w:r>
    </w:p>
    <w:p>
      <w:pPr>
        <w:spacing w:line="620" w:lineRule="exact"/>
        <w:ind w:firstLine="6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1．递交申报文件的截止时间为：2022年10月30日17:00点（以邮戳为准）</w:t>
      </w:r>
      <w:r>
        <w:rPr>
          <w:rFonts w:hint="eastAsia" w:ascii="仿宋_GB2312" w:hAnsi="仿宋_GB2312" w:eastAsia="仿宋_GB2312" w:cs="仿宋_GB2312"/>
          <w:color w:val="000000" w:themeColor="text1"/>
          <w:sz w:val="32"/>
          <w:szCs w:val="32"/>
          <w14:textFill>
            <w14:solidFill>
              <w14:schemeClr w14:val="tx1"/>
            </w14:solidFill>
          </w14:textFill>
        </w:rPr>
        <w:t>，</w:t>
      </w:r>
      <w:r>
        <w:fldChar w:fldCharType="begin"/>
      </w:r>
      <w:r>
        <w:instrText xml:space="preserve"> HYPERLINK "mailto:并同时发送电子文档至zhangyh@acee.org.cn" </w:instrText>
      </w:r>
      <w:r>
        <w:fldChar w:fldCharType="separate"/>
      </w:r>
      <w:r>
        <w:rPr>
          <w:rStyle w:val="10"/>
          <w:rFonts w:hint="eastAsia" w:ascii="仿宋_GB2312" w:hAnsi="仿宋_GB2312" w:eastAsia="仿宋_GB2312" w:cs="仿宋_GB2312"/>
          <w:color w:val="000000" w:themeColor="text1"/>
          <w:sz w:val="32"/>
          <w:szCs w:val="32"/>
          <w14:textFill>
            <w14:solidFill>
              <w14:schemeClr w14:val="tx1"/>
            </w14:solidFill>
          </w14:textFill>
        </w:rPr>
        <w:t>并同时发送电子文档至zhaoyue@acee.org.cn</w:t>
      </w:r>
      <w:r>
        <w:rPr>
          <w:rStyle w:val="10"/>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2.申报文件送达地点：北京市朝阳区北苑路大羊坊8号 生态环境部环境工程评估中心；邮编：100012；联系人：赵越；联系电话：010-84757228。</w:t>
      </w:r>
    </w:p>
    <w:p>
      <w:pPr>
        <w:spacing w:line="6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3.在申报截止时间之后，项目申报单位不得对申报文件做任何修改。</w:t>
      </w:r>
    </w:p>
    <w:p>
      <w:pPr>
        <w:pStyle w:val="11"/>
        <w:spacing w:line="620" w:lineRule="exact"/>
        <w:ind w:firstLine="640"/>
        <w:rPr>
          <w:rFonts w:ascii="黑体" w:hAnsi="黑体" w:eastAsia="黑体"/>
          <w:sz w:val="32"/>
          <w:szCs w:val="32"/>
        </w:rPr>
      </w:pPr>
      <w:r>
        <w:rPr>
          <w:rFonts w:hint="eastAsia" w:ascii="黑体" w:hAnsi="黑体" w:eastAsia="黑体"/>
          <w:sz w:val="32"/>
          <w:szCs w:val="32"/>
        </w:rPr>
        <w:t xml:space="preserve">七、申报文件评审与结果公示 </w:t>
      </w:r>
    </w:p>
    <w:p>
      <w:pPr>
        <w:spacing w:line="620" w:lineRule="exact"/>
        <w:ind w:firstLine="600"/>
        <w:rPr>
          <w:rFonts w:eastAsia="仿宋_GB2312"/>
          <w:sz w:val="32"/>
          <w:szCs w:val="32"/>
        </w:rPr>
      </w:pPr>
      <w:r>
        <w:rPr>
          <w:rFonts w:hint="eastAsia" w:eastAsia="仿宋_GB2312"/>
          <w:sz w:val="32"/>
          <w:szCs w:val="32"/>
        </w:rPr>
        <w:t>评估中心将在申报受理结束后组织专家评审，对申请单位的方案进行评估，主要考核技术方案、工作业绩和工作基础、组织实施能力。</w:t>
      </w:r>
    </w:p>
    <w:p>
      <w:pPr>
        <w:spacing w:line="620" w:lineRule="exact"/>
        <w:ind w:firstLine="600"/>
        <w:rPr>
          <w:rFonts w:eastAsia="仿宋_GB2312"/>
          <w:sz w:val="32"/>
          <w:szCs w:val="32"/>
        </w:rPr>
      </w:pPr>
      <w:r>
        <w:rPr>
          <w:rFonts w:hint="eastAsia" w:eastAsia="仿宋_GB2312"/>
          <w:sz w:val="32"/>
          <w:szCs w:val="32"/>
        </w:rPr>
        <w:t>择优确定承担单位后，在环境影响评价网进行公示。</w:t>
      </w:r>
    </w:p>
    <w:p>
      <w:pPr>
        <w:pStyle w:val="11"/>
        <w:spacing w:line="620" w:lineRule="exact"/>
        <w:ind w:firstLine="640"/>
        <w:rPr>
          <w:rFonts w:ascii="黑体" w:hAnsi="黑体" w:eastAsia="黑体"/>
          <w:sz w:val="32"/>
          <w:szCs w:val="32"/>
        </w:rPr>
      </w:pPr>
      <w:r>
        <w:rPr>
          <w:rFonts w:hint="eastAsia" w:ascii="黑体" w:hAnsi="黑体" w:eastAsia="黑体"/>
          <w:sz w:val="32"/>
          <w:szCs w:val="32"/>
        </w:rPr>
        <w:t>八、其他注意事项</w:t>
      </w:r>
    </w:p>
    <w:p>
      <w:pPr>
        <w:spacing w:line="620" w:lineRule="exact"/>
        <w:ind w:firstLine="600"/>
        <w:rPr>
          <w:rFonts w:eastAsia="仿宋_GB2312"/>
          <w:sz w:val="32"/>
          <w:szCs w:val="32"/>
        </w:rPr>
      </w:pPr>
      <w:r>
        <w:rPr>
          <w:rFonts w:hint="eastAsia" w:eastAsia="仿宋_GB2312"/>
          <w:sz w:val="32"/>
          <w:szCs w:val="32"/>
        </w:rPr>
        <w:t>（一）评估中心将指定专人负责专题的跟踪管理。公开征集选定的承担单位，应按专题管理要求细化实施方案，进一步明确相关配套条件、阶段进度等。</w:t>
      </w:r>
    </w:p>
    <w:p>
      <w:pPr>
        <w:spacing w:line="620" w:lineRule="exact"/>
        <w:ind w:firstLine="600"/>
        <w:rPr>
          <w:rFonts w:eastAsia="仿宋_GB2312"/>
          <w:sz w:val="32"/>
          <w:szCs w:val="32"/>
        </w:rPr>
      </w:pPr>
      <w:r>
        <w:rPr>
          <w:rFonts w:hint="eastAsia" w:eastAsia="仿宋_GB2312"/>
          <w:sz w:val="32"/>
          <w:szCs w:val="32"/>
        </w:rPr>
        <w:t>（二）合同履行期间，评估中心可依据工作需要，要求承担单位作若干进展情况汇报。</w:t>
      </w:r>
    </w:p>
    <w:p>
      <w:pPr>
        <w:spacing w:line="620" w:lineRule="exact"/>
        <w:ind w:firstLine="600"/>
        <w:rPr>
          <w:rFonts w:eastAsia="仿宋_GB2312"/>
          <w:sz w:val="32"/>
          <w:szCs w:val="32"/>
        </w:rPr>
      </w:pPr>
      <w:r>
        <w:rPr>
          <w:rFonts w:hint="eastAsia" w:eastAsia="仿宋_GB2312"/>
          <w:sz w:val="32"/>
          <w:szCs w:val="32"/>
        </w:rPr>
        <w:t>（三）项目所涉及的有关研究成果及其知识产权，按国家有关规定执行。</w:t>
      </w:r>
    </w:p>
    <w:p>
      <w:pPr>
        <w:pStyle w:val="3"/>
        <w:rPr>
          <w:rFonts w:eastAsia="仿宋_GB2312"/>
          <w:sz w:val="32"/>
          <w:szCs w:val="32"/>
        </w:rPr>
      </w:pPr>
    </w:p>
    <w:p>
      <w:pPr>
        <w:rPr>
          <w:rFonts w:eastAsia="仿宋_GB2312"/>
          <w:sz w:val="32"/>
          <w:szCs w:val="32"/>
        </w:rPr>
      </w:pPr>
    </w:p>
    <w:p>
      <w:pPr>
        <w:pStyle w:val="3"/>
        <w:rPr>
          <w:rFonts w:eastAsia="仿宋_GB2312"/>
          <w:sz w:val="32"/>
          <w:szCs w:val="32"/>
        </w:rPr>
      </w:pPr>
    </w:p>
    <w:p>
      <w:pPr>
        <w:rPr>
          <w:rFonts w:eastAsia="仿宋_GB2312"/>
          <w:sz w:val="32"/>
          <w:szCs w:val="32"/>
        </w:rPr>
      </w:pPr>
    </w:p>
    <w:p>
      <w:pPr>
        <w:pStyle w:val="3"/>
        <w:rPr>
          <w:rFonts w:eastAsia="仿宋_GB2312"/>
          <w:sz w:val="32"/>
          <w:szCs w:val="32"/>
        </w:rPr>
      </w:pPr>
    </w:p>
    <w:p>
      <w:pPr>
        <w:rPr>
          <w:rFonts w:eastAsia="仿宋_GB2312"/>
          <w:sz w:val="32"/>
          <w:szCs w:val="32"/>
        </w:rPr>
      </w:pPr>
    </w:p>
    <w:p>
      <w:pPr>
        <w:pStyle w:val="3"/>
        <w:rPr>
          <w:rFonts w:eastAsia="仿宋_GB2312"/>
          <w:sz w:val="32"/>
          <w:szCs w:val="32"/>
        </w:rPr>
      </w:pPr>
    </w:p>
    <w:p>
      <w:pPr>
        <w:pStyle w:val="3"/>
        <w:rPr>
          <w:rFonts w:hint="eastAsia" w:ascii="黑体" w:hAnsi="黑体" w:eastAsia="黑体" w:cs="黑体"/>
          <w:sz w:val="32"/>
          <w:szCs w:val="32"/>
        </w:rPr>
      </w:pPr>
      <w:r>
        <w:rPr>
          <w:rFonts w:hint="eastAsia" w:ascii="黑体" w:hAnsi="黑体" w:eastAsia="黑体" w:cs="黑体"/>
          <w:sz w:val="32"/>
          <w:szCs w:val="32"/>
        </w:rPr>
        <w:t>附件：环境空气质量</w:t>
      </w:r>
      <w:r>
        <w:rPr>
          <w:rFonts w:hint="eastAsia" w:ascii="黑体" w:hAnsi="黑体" w:eastAsia="黑体" w:cs="黑体"/>
          <w:sz w:val="32"/>
          <w:szCs w:val="32"/>
          <w:lang w:val="en-US" w:eastAsia="zh-CN"/>
        </w:rPr>
        <w:t>数据采集和分析</w:t>
      </w:r>
      <w:r>
        <w:rPr>
          <w:rFonts w:hint="eastAsia" w:ascii="黑体" w:hAnsi="黑体" w:eastAsia="黑体" w:cs="黑体"/>
          <w:sz w:val="32"/>
          <w:szCs w:val="32"/>
        </w:rPr>
        <w:t>技术指标要求</w:t>
      </w:r>
    </w:p>
    <w:p>
      <w:pPr>
        <w:numPr>
          <w:ilvl w:val="0"/>
          <w:numId w:val="2"/>
        </w:numPr>
        <w:spacing w:line="620" w:lineRule="exact"/>
        <w:ind w:firstLine="600"/>
        <w:rPr>
          <w:rFonts w:hint="eastAsia" w:eastAsia="仿宋_GB2312" w:asciiTheme="minorHAnsi" w:hAnsiTheme="minorHAnsi" w:cstheme="minorBidi"/>
          <w:sz w:val="32"/>
          <w:szCs w:val="32"/>
        </w:rPr>
      </w:pPr>
      <w:r>
        <w:rPr>
          <w:rFonts w:hint="eastAsia" w:eastAsia="仿宋_GB2312"/>
          <w:sz w:val="32"/>
          <w:szCs w:val="32"/>
          <w:lang w:val="en-US" w:eastAsia="zh-CN"/>
        </w:rPr>
        <w:t>提供重点厂区指定点位PM</w:t>
      </w:r>
      <w:r>
        <w:rPr>
          <w:rFonts w:hint="default" w:eastAsia="仿宋_GB2312" w:asciiTheme="minorAscii" w:hAnsiTheme="minorAscii"/>
          <w:sz w:val="32"/>
          <w:szCs w:val="32"/>
          <w:vertAlign w:val="subscript"/>
          <w:lang w:val="en-US" w:eastAsia="zh-CN"/>
        </w:rPr>
        <w:t>2.5</w:t>
      </w:r>
      <w:r>
        <w:rPr>
          <w:rFonts w:hint="eastAsia" w:eastAsia="仿宋_GB2312"/>
          <w:sz w:val="32"/>
          <w:szCs w:val="32"/>
          <w:lang w:val="en-US" w:eastAsia="zh-CN"/>
        </w:rPr>
        <w:t>、PM</w:t>
      </w:r>
      <w:r>
        <w:rPr>
          <w:rFonts w:hint="default" w:eastAsia="仿宋_GB2312" w:asciiTheme="minorAscii" w:hAnsiTheme="minorAscii"/>
          <w:sz w:val="32"/>
          <w:szCs w:val="32"/>
          <w:vertAlign w:val="subscript"/>
          <w:lang w:val="en-US" w:eastAsia="zh-CN"/>
        </w:rPr>
        <w:t>10</w:t>
      </w:r>
      <w:r>
        <w:rPr>
          <w:rFonts w:hint="eastAsia" w:eastAsia="仿宋_GB2312"/>
          <w:sz w:val="32"/>
          <w:szCs w:val="32"/>
          <w:lang w:val="en-US" w:eastAsia="zh-CN"/>
        </w:rPr>
        <w:t>、SO</w:t>
      </w:r>
      <w:r>
        <w:rPr>
          <w:rFonts w:hint="default" w:eastAsia="仿宋_GB2312" w:asciiTheme="minorAscii" w:hAnsiTheme="minorAscii"/>
          <w:sz w:val="32"/>
          <w:szCs w:val="32"/>
          <w:vertAlign w:val="subscript"/>
          <w:lang w:val="en-US" w:eastAsia="zh-CN"/>
        </w:rPr>
        <w:t>2</w:t>
      </w:r>
      <w:r>
        <w:rPr>
          <w:rFonts w:hint="eastAsia" w:eastAsia="仿宋_GB2312"/>
          <w:sz w:val="32"/>
          <w:szCs w:val="32"/>
          <w:lang w:val="en-US" w:eastAsia="zh-CN"/>
        </w:rPr>
        <w:t>、NO</w:t>
      </w:r>
      <w:r>
        <w:rPr>
          <w:rFonts w:hint="default" w:eastAsia="仿宋_GB2312" w:asciiTheme="minorAscii" w:hAnsiTheme="minorAscii"/>
          <w:sz w:val="32"/>
          <w:szCs w:val="32"/>
          <w:vertAlign w:val="subscript"/>
          <w:lang w:val="en-US" w:eastAsia="zh-CN"/>
        </w:rPr>
        <w:t>2</w:t>
      </w:r>
      <w:r>
        <w:rPr>
          <w:rFonts w:hint="eastAsia" w:eastAsia="仿宋_GB2312"/>
          <w:sz w:val="32"/>
          <w:szCs w:val="32"/>
          <w:lang w:val="en-US" w:eastAsia="zh-CN"/>
        </w:rPr>
        <w:t>、O</w:t>
      </w:r>
      <w:r>
        <w:rPr>
          <w:rFonts w:hint="default" w:eastAsia="仿宋_GB2312" w:asciiTheme="minorAscii" w:hAnsiTheme="minorAscii"/>
          <w:sz w:val="32"/>
          <w:szCs w:val="32"/>
          <w:vertAlign w:val="subscript"/>
          <w:lang w:val="en-US" w:eastAsia="zh-CN"/>
        </w:rPr>
        <w:t>3</w:t>
      </w:r>
      <w:r>
        <w:rPr>
          <w:rFonts w:hint="eastAsia" w:eastAsia="仿宋_GB2312"/>
          <w:sz w:val="32"/>
          <w:szCs w:val="32"/>
          <w:lang w:val="en-US" w:eastAsia="zh-CN"/>
        </w:rPr>
        <w:t>、CO、TVOC七参数已校准、可加密、可定位、数据间隔小于5分钟的</w:t>
      </w:r>
      <w:r>
        <w:rPr>
          <w:rFonts w:hint="eastAsia" w:eastAsia="仿宋_GB2312" w:asciiTheme="minorHAnsi" w:hAnsiTheme="minorHAnsi" w:cstheme="minorBidi"/>
          <w:sz w:val="32"/>
          <w:szCs w:val="32"/>
        </w:rPr>
        <w:t>空气质量数据采集</w:t>
      </w:r>
      <w:r>
        <w:rPr>
          <w:rFonts w:hint="eastAsia" w:eastAsia="仿宋_GB2312" w:cstheme="minorBidi"/>
          <w:sz w:val="32"/>
          <w:szCs w:val="32"/>
          <w:lang w:eastAsia="zh-CN"/>
        </w:rPr>
        <w:t>、</w:t>
      </w:r>
      <w:r>
        <w:rPr>
          <w:rFonts w:hint="eastAsia" w:eastAsia="仿宋_GB2312" w:cstheme="minorBidi"/>
          <w:sz w:val="32"/>
          <w:szCs w:val="32"/>
          <w:lang w:val="en-US" w:eastAsia="zh-CN"/>
        </w:rPr>
        <w:t>存储和</w:t>
      </w:r>
      <w:r>
        <w:rPr>
          <w:rFonts w:hint="eastAsia" w:eastAsia="仿宋_GB2312" w:asciiTheme="minorHAnsi" w:hAnsiTheme="minorHAnsi" w:cstheme="minorBidi"/>
          <w:sz w:val="32"/>
          <w:szCs w:val="32"/>
        </w:rPr>
        <w:t>分析服务</w:t>
      </w:r>
      <w:r>
        <w:rPr>
          <w:rFonts w:hint="eastAsia" w:eastAsia="仿宋_GB2312" w:cstheme="minorBidi"/>
          <w:sz w:val="32"/>
          <w:szCs w:val="32"/>
          <w:lang w:eastAsia="zh-CN"/>
        </w:rPr>
        <w:t>。</w:t>
      </w:r>
    </w:p>
    <w:p>
      <w:pPr>
        <w:numPr>
          <w:ilvl w:val="0"/>
          <w:numId w:val="2"/>
        </w:numPr>
        <w:spacing w:line="620" w:lineRule="exact"/>
        <w:ind w:firstLine="600"/>
        <w:rPr>
          <w:rFonts w:hint="eastAsia" w:eastAsia="仿宋_GB2312" w:asciiTheme="minorHAnsi" w:hAnsiTheme="minorHAnsi" w:cstheme="minorBidi"/>
          <w:sz w:val="32"/>
          <w:szCs w:val="32"/>
        </w:rPr>
      </w:pPr>
      <w:r>
        <w:rPr>
          <w:rFonts w:hint="eastAsia" w:eastAsia="仿宋_GB2312" w:cstheme="minorBidi"/>
          <w:sz w:val="32"/>
          <w:szCs w:val="32"/>
          <w:lang w:val="en-US" w:eastAsia="zh-CN"/>
        </w:rPr>
        <w:t>相关的数据精度满足下表要求。</w:t>
      </w:r>
    </w:p>
    <w:p>
      <w:pPr>
        <w:pStyle w:val="2"/>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800"/>
        <w:gridCol w:w="3682"/>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97"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napToGrid w:val="0"/>
              <w:jc w:val="center"/>
              <w:rPr>
                <w:rFonts w:eastAsia="仿宋"/>
                <w:b/>
                <w:bCs w:val="0"/>
                <w:sz w:val="24"/>
              </w:rPr>
            </w:pPr>
            <w:r>
              <w:rPr>
                <w:rFonts w:eastAsia="仿宋"/>
                <w:b/>
                <w:bCs w:val="0"/>
                <w:sz w:val="24"/>
              </w:rPr>
              <w:t>序号</w:t>
            </w:r>
          </w:p>
        </w:tc>
        <w:tc>
          <w:tcPr>
            <w:tcW w:w="1056"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napToGrid w:val="0"/>
              <w:jc w:val="center"/>
              <w:rPr>
                <w:rFonts w:eastAsia="仿宋"/>
                <w:b/>
                <w:bCs w:val="0"/>
                <w:sz w:val="24"/>
              </w:rPr>
            </w:pPr>
            <w:r>
              <w:rPr>
                <w:rFonts w:eastAsia="仿宋"/>
                <w:b/>
                <w:bCs w:val="0"/>
                <w:sz w:val="24"/>
              </w:rPr>
              <w:t>污染物</w:t>
            </w:r>
          </w:p>
        </w:tc>
        <w:tc>
          <w:tcPr>
            <w:tcW w:w="2160"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napToGrid w:val="0"/>
              <w:jc w:val="center"/>
              <w:rPr>
                <w:rFonts w:eastAsia="仿宋"/>
                <w:b/>
                <w:bCs w:val="0"/>
                <w:sz w:val="24"/>
              </w:rPr>
            </w:pPr>
            <w:r>
              <w:rPr>
                <w:rFonts w:hint="eastAsia" w:eastAsia="仿宋"/>
                <w:b/>
                <w:bCs w:val="0"/>
                <w:sz w:val="24"/>
                <w:lang w:val="en-US" w:eastAsia="zh-CN"/>
              </w:rPr>
              <w:t>精度</w:t>
            </w:r>
          </w:p>
        </w:tc>
        <w:tc>
          <w:tcPr>
            <w:tcW w:w="1286" w:type="pct"/>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napToGrid w:val="0"/>
              <w:jc w:val="center"/>
              <w:rPr>
                <w:rFonts w:eastAsia="仿宋"/>
                <w:b/>
                <w:sz w:val="24"/>
              </w:rPr>
            </w:pPr>
            <w:r>
              <w:rPr>
                <w:rFonts w:eastAsia="仿宋"/>
                <w:b/>
                <w:sz w:val="24"/>
              </w:rPr>
              <w:t>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1</w:t>
            </w:r>
          </w:p>
        </w:tc>
        <w:tc>
          <w:tcPr>
            <w:tcW w:w="105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sz w:val="24"/>
              </w:rPr>
              <w:t>PM</w:t>
            </w:r>
            <w:r>
              <w:rPr>
                <w:rFonts w:eastAsia="仿宋"/>
                <w:sz w:val="24"/>
                <w:vertAlign w:val="subscript"/>
              </w:rPr>
              <w:t>2.5</w:t>
            </w: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0~1000µg/m</w:t>
            </w:r>
            <w:r>
              <w:rPr>
                <w:rFonts w:eastAsia="仿宋"/>
                <w:bCs/>
                <w:sz w:val="24"/>
                <w:vertAlign w:val="superscript"/>
              </w:rPr>
              <w:t>3</w:t>
            </w:r>
          </w:p>
        </w:tc>
        <w:tc>
          <w:tcPr>
            <w:tcW w:w="128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vertAlign w:val="superscript"/>
              </w:rPr>
            </w:pPr>
            <w:r>
              <w:rPr>
                <w:rFonts w:eastAsia="仿宋"/>
                <w:sz w:val="24"/>
              </w:rPr>
              <w:t>≤100</w:t>
            </w:r>
            <w:r>
              <w:rPr>
                <w:rFonts w:eastAsia="仿宋"/>
                <w:bCs/>
                <w:sz w:val="24"/>
              </w:rPr>
              <w:t>µg/m</w:t>
            </w:r>
            <w:r>
              <w:rPr>
                <w:rFonts w:eastAsia="仿宋"/>
                <w:bCs/>
                <w:sz w:val="24"/>
                <w:vertAlign w:val="superscript"/>
              </w:rPr>
              <w:t>3</w:t>
            </w:r>
            <w:r>
              <w:rPr>
                <w:rFonts w:eastAsia="仿宋"/>
                <w:bCs/>
                <w:sz w:val="24"/>
              </w:rPr>
              <w:t>，±15µg/m</w:t>
            </w:r>
            <w:r>
              <w:rPr>
                <w:rFonts w:eastAsia="仿宋"/>
                <w:bCs/>
                <w:sz w:val="24"/>
                <w:vertAlign w:val="superscript"/>
              </w:rPr>
              <w:t>3</w:t>
            </w:r>
          </w:p>
          <w:p>
            <w:pPr>
              <w:snapToGrid w:val="0"/>
              <w:jc w:val="center"/>
              <w:rPr>
                <w:rFonts w:eastAsia="仿宋"/>
                <w:sz w:val="24"/>
              </w:rPr>
            </w:pPr>
            <w:r>
              <w:rPr>
                <w:rFonts w:eastAsia="仿宋"/>
                <w:bCs/>
                <w:sz w:val="24"/>
              </w:rPr>
              <w:t>＞</w:t>
            </w:r>
            <w:r>
              <w:rPr>
                <w:rFonts w:eastAsia="仿宋"/>
                <w:sz w:val="24"/>
              </w:rPr>
              <w:t>100</w:t>
            </w:r>
            <w:r>
              <w:rPr>
                <w:rFonts w:eastAsia="仿宋"/>
                <w:bCs/>
                <w:sz w:val="24"/>
              </w:rPr>
              <w:t>µg/m</w:t>
            </w:r>
            <w:r>
              <w:rPr>
                <w:rFonts w:eastAsia="仿宋"/>
                <w:bCs/>
                <w:sz w:val="24"/>
                <w:vertAlign w:val="superscript"/>
              </w:rPr>
              <w:t>3</w:t>
            </w:r>
            <w:r>
              <w:rPr>
                <w:rFonts w:eastAsia="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2</w:t>
            </w:r>
          </w:p>
        </w:tc>
        <w:tc>
          <w:tcPr>
            <w:tcW w:w="105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sz w:val="24"/>
              </w:rPr>
              <w:t>PM</w:t>
            </w:r>
            <w:r>
              <w:rPr>
                <w:rFonts w:eastAsia="仿宋"/>
                <w:sz w:val="24"/>
                <w:vertAlign w:val="subscript"/>
              </w:rPr>
              <w:t>10</w:t>
            </w: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0~1000µg/m</w:t>
            </w:r>
            <w:r>
              <w:rPr>
                <w:rFonts w:eastAsia="仿宋"/>
                <w:bCs/>
                <w:sz w:val="24"/>
                <w:vertAlign w:val="superscript"/>
              </w:rPr>
              <w:t>3</w:t>
            </w:r>
          </w:p>
        </w:tc>
        <w:tc>
          <w:tcPr>
            <w:tcW w:w="128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vertAlign w:val="superscript"/>
              </w:rPr>
            </w:pPr>
            <w:r>
              <w:rPr>
                <w:rFonts w:eastAsia="仿宋"/>
                <w:sz w:val="24"/>
              </w:rPr>
              <w:t>≤100</w:t>
            </w:r>
            <w:r>
              <w:rPr>
                <w:rFonts w:eastAsia="仿宋"/>
                <w:bCs/>
                <w:sz w:val="24"/>
              </w:rPr>
              <w:t>µg/m</w:t>
            </w:r>
            <w:r>
              <w:rPr>
                <w:rFonts w:eastAsia="仿宋"/>
                <w:bCs/>
                <w:sz w:val="24"/>
                <w:vertAlign w:val="superscript"/>
              </w:rPr>
              <w:t>3</w:t>
            </w:r>
            <w:r>
              <w:rPr>
                <w:rFonts w:eastAsia="仿宋"/>
                <w:bCs/>
                <w:sz w:val="24"/>
              </w:rPr>
              <w:t>，±20µg/m</w:t>
            </w:r>
            <w:r>
              <w:rPr>
                <w:rFonts w:eastAsia="仿宋"/>
                <w:bCs/>
                <w:sz w:val="24"/>
                <w:vertAlign w:val="superscript"/>
              </w:rPr>
              <w:t>3</w:t>
            </w:r>
          </w:p>
          <w:p>
            <w:pPr>
              <w:snapToGrid w:val="0"/>
              <w:jc w:val="center"/>
              <w:rPr>
                <w:rFonts w:eastAsia="仿宋"/>
                <w:sz w:val="24"/>
              </w:rPr>
            </w:pPr>
            <w:r>
              <w:rPr>
                <w:rFonts w:eastAsia="仿宋"/>
                <w:bCs/>
                <w:sz w:val="24"/>
              </w:rPr>
              <w:t>＞</w:t>
            </w:r>
            <w:r>
              <w:rPr>
                <w:rFonts w:eastAsia="仿宋"/>
                <w:sz w:val="24"/>
              </w:rPr>
              <w:t>100</w:t>
            </w:r>
            <w:r>
              <w:rPr>
                <w:rFonts w:eastAsia="仿宋"/>
                <w:bCs/>
                <w:sz w:val="24"/>
              </w:rPr>
              <w:t>µg/m</w:t>
            </w:r>
            <w:r>
              <w:rPr>
                <w:rFonts w:eastAsia="仿宋"/>
                <w:bCs/>
                <w:sz w:val="24"/>
                <w:vertAlign w:val="superscript"/>
              </w:rPr>
              <w:t>3</w:t>
            </w:r>
            <w:r>
              <w:rPr>
                <w:rFonts w:eastAsia="仿宋"/>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3</w:t>
            </w:r>
          </w:p>
        </w:tc>
        <w:tc>
          <w:tcPr>
            <w:tcW w:w="105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SO</w:t>
            </w:r>
            <w:r>
              <w:rPr>
                <w:rFonts w:eastAsia="仿宋"/>
                <w:bCs/>
                <w:sz w:val="24"/>
                <w:vertAlign w:val="subscript"/>
              </w:rPr>
              <w:t>2</w:t>
            </w: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0-10ppm</w:t>
            </w:r>
          </w:p>
        </w:tc>
        <w:tc>
          <w:tcPr>
            <w:tcW w:w="128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4"/>
              </w:rPr>
            </w:pPr>
            <w:r>
              <w:t>±2%FS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4</w:t>
            </w:r>
          </w:p>
        </w:tc>
        <w:tc>
          <w:tcPr>
            <w:tcW w:w="105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NO</w:t>
            </w:r>
            <w:r>
              <w:rPr>
                <w:rFonts w:eastAsia="仿宋"/>
                <w:bCs/>
                <w:sz w:val="24"/>
                <w:vertAlign w:val="subscript"/>
              </w:rPr>
              <w:t>2</w:t>
            </w: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0-10ppm</w:t>
            </w:r>
          </w:p>
        </w:tc>
        <w:tc>
          <w:tcPr>
            <w:tcW w:w="128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4"/>
              </w:rPr>
            </w:pPr>
            <w:r>
              <w:t>±2%FS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5</w:t>
            </w:r>
          </w:p>
        </w:tc>
        <w:tc>
          <w:tcPr>
            <w:tcW w:w="105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CO</w:t>
            </w: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0-50ppm</w:t>
            </w:r>
          </w:p>
        </w:tc>
        <w:tc>
          <w:tcPr>
            <w:tcW w:w="128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4"/>
              </w:rPr>
            </w:pPr>
            <w:r>
              <w:t>±2%FS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6</w:t>
            </w:r>
          </w:p>
        </w:tc>
        <w:tc>
          <w:tcPr>
            <w:tcW w:w="105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O</w:t>
            </w:r>
            <w:r>
              <w:rPr>
                <w:rFonts w:eastAsia="仿宋"/>
                <w:bCs/>
                <w:sz w:val="24"/>
                <w:vertAlign w:val="subscript"/>
              </w:rPr>
              <w:t>3</w:t>
            </w: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0-5ppm</w:t>
            </w:r>
          </w:p>
        </w:tc>
        <w:tc>
          <w:tcPr>
            <w:tcW w:w="128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4"/>
              </w:rPr>
            </w:pPr>
            <w:r>
              <w:t>±4%FS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4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7</w:t>
            </w:r>
          </w:p>
        </w:tc>
        <w:tc>
          <w:tcPr>
            <w:tcW w:w="105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kern w:val="0"/>
                <w:sz w:val="24"/>
                <w:szCs w:val="20"/>
              </w:rPr>
              <w:t>TVOC</w:t>
            </w:r>
          </w:p>
        </w:tc>
        <w:tc>
          <w:tcPr>
            <w:tcW w:w="2160"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bCs/>
                <w:sz w:val="24"/>
              </w:rPr>
            </w:pPr>
            <w:r>
              <w:rPr>
                <w:rFonts w:eastAsia="仿宋"/>
                <w:bCs/>
                <w:sz w:val="24"/>
              </w:rPr>
              <w:t>0-50ppm</w:t>
            </w:r>
          </w:p>
        </w:tc>
        <w:tc>
          <w:tcPr>
            <w:tcW w:w="1286" w:type="pct"/>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
                <w:sz w:val="24"/>
              </w:rPr>
            </w:pPr>
            <w:r>
              <w:t>±10%FS</w:t>
            </w:r>
          </w:p>
        </w:tc>
      </w:tr>
    </w:tbl>
    <w:p>
      <w:pPr>
        <w:pStyle w:val="3"/>
      </w:pPr>
    </w:p>
    <w:p>
      <w:pPr>
        <w:pStyle w:val="3"/>
      </w:pPr>
    </w:p>
    <w:p>
      <w:pPr>
        <w:pStyle w:val="2"/>
        <w:ind w:firstLine="0" w:firstLineChars="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___WRD_EMBED_SUB_44">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F80291"/>
    <w:multiLevelType w:val="multilevel"/>
    <w:tmpl w:val="1CF80291"/>
    <w:lvl w:ilvl="0" w:tentative="0">
      <w:start w:val="1"/>
      <w:numFmt w:val="japaneseCounting"/>
      <w:lvlText w:val="（%1）"/>
      <w:lvlJc w:val="left"/>
      <w:pPr>
        <w:ind w:left="1721" w:hanging="108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abstractNum w:abstractNumId="1">
    <w:nsid w:val="65F78774"/>
    <w:multiLevelType w:val="singleLevel"/>
    <w:tmpl w:val="65F7877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OGNjOTMyM2M0ZDU2MDQyODE1YjVlYThhMmQzMDYifQ=="/>
  </w:docVars>
  <w:rsids>
    <w:rsidRoot w:val="00000000"/>
    <w:rsid w:val="55C9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4">
    <w:name w:val="Plain Text"/>
    <w:basedOn w:val="1"/>
    <w:qFormat/>
    <w:uiPriority w:val="0"/>
    <w:rPr>
      <w:rFonts w:ascii="宋体" w:hAnsi="Courier New"/>
    </w:rPr>
  </w:style>
  <w:style w:type="paragraph" w:styleId="5">
    <w:name w:val="Date"/>
    <w:basedOn w:val="1"/>
    <w:next w:val="1"/>
    <w:qFormat/>
    <w:uiPriority w:val="0"/>
    <w:rPr>
      <w:rFonts w:ascii="仿宋_GB2312" w:eastAsia="仿宋_GB2312"/>
      <w:sz w:val="32"/>
      <w:szCs w:val="20"/>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unhideWhenUsed/>
    <w:qFormat/>
    <w:uiPriority w:val="99"/>
    <w:rPr>
      <w:color w:val="4E4E4E"/>
      <w:u w:val="none"/>
    </w:rPr>
  </w:style>
  <w:style w:type="paragraph" w:customStyle="1" w:styleId="11">
    <w:name w:val="_Style 1"/>
    <w:basedOn w:val="1"/>
    <w:qFormat/>
    <w:uiPriority w:val="0"/>
    <w:pPr>
      <w:spacing w:line="481" w:lineRule="atLeast"/>
      <w:ind w:firstLine="623"/>
      <w:textAlignment w:val="baseline"/>
    </w:pPr>
    <w:rPr>
      <w:rFonts w:eastAsia="仿宋_GB2312"/>
      <w:color w:val="000000"/>
      <w:sz w:val="31"/>
    </w:rPr>
  </w:style>
  <w:style w:type="paragraph" w:customStyle="1" w:styleId="12">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2022-10-21T09:11:57Z</dcterms:created>
  <dc:creator>zy</dc:creator>
  <cp:lastModifiedBy>左左</cp:lastModifiedBy>
  <dcterms:modified xsi:type="dcterms:W3CDTF">2022-10-21T09:13:15Z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EA55AE7A00844EF39AEAB67C41D3E65A</vt:lpwstr>
  </property>
</Properties>
</file>